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341b" w14:textId="0863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15 декабря 2014 года № 209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28 апреля 2023 года № 166. Зарегистрирован в Министерстве юстиции Республики Казахстан 3 мая 2023 года № 32421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(зарегистрирован в Реестре государственной регистрации нормативных правовых актов за № 10120)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p>
    <w:bookmarkStart w:name="z12" w:id="5"/>
    <w:p>
      <w:pPr>
        <w:spacing w:after="0"/>
        <w:ind w:left="0"/>
        <w:jc w:val="both"/>
      </w:pPr>
      <w:r>
        <w:rPr>
          <w:rFonts w:ascii="Times New Roman"/>
          <w:b w:val="false"/>
          <w:i w:val="false"/>
          <w:color w:val="000000"/>
          <w:sz w:val="28"/>
        </w:rPr>
        <w:t xml:space="preserve">
      "7)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w:t>
      </w:r>
      <w:r>
        <w:rPr>
          <w:rFonts w:ascii="Times New Roman"/>
          <w:b w:val="false"/>
          <w:i w:val="false"/>
          <w:color w:val="000000"/>
          <w:sz w:val="28"/>
        </w:rPr>
        <w:t>пункте 4-1</w:t>
      </w:r>
      <w:r>
        <w:rPr>
          <w:rFonts w:ascii="Times New Roman"/>
          <w:b w:val="false"/>
          <w:i w:val="false"/>
          <w:color w:val="000000"/>
          <w:sz w:val="28"/>
        </w:rPr>
        <w:t xml:space="preserve"> статьи 8 Закона;";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6"/>
    <w:bookmarkStart w:name="z15" w:id="7"/>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7"/>
    <w:bookmarkStart w:name="z16" w:id="8"/>
    <w:p>
      <w:pPr>
        <w:spacing w:after="0"/>
        <w:ind w:left="0"/>
        <w:jc w:val="both"/>
      </w:pPr>
      <w:r>
        <w:rPr>
          <w:rFonts w:ascii="Times New Roman"/>
          <w:b w:val="false"/>
          <w:i w:val="false"/>
          <w:color w:val="000000"/>
          <w:sz w:val="28"/>
        </w:rPr>
        <w:t>
      Для регионов Республики Казахстан, в которых отсутствует снабжение товарным газом, уровень предельной цены оптовой реализации товарного газа не рассчитывается.</w:t>
      </w:r>
    </w:p>
    <w:bookmarkEnd w:id="8"/>
    <w:bookmarkStart w:name="z17" w:id="9"/>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2-2 </w:t>
      </w:r>
      <w:r>
        <w:rPr>
          <w:rFonts w:ascii="Times New Roman"/>
          <w:b w:val="false"/>
          <w:i w:val="false"/>
          <w:color w:val="000000"/>
          <w:sz w:val="28"/>
        </w:rPr>
        <w:t>статьи 20</w:t>
      </w:r>
      <w:r>
        <w:rPr>
          <w:rFonts w:ascii="Times New Roman"/>
          <w:b w:val="false"/>
          <w:i w:val="false"/>
          <w:color w:val="000000"/>
          <w:sz w:val="28"/>
        </w:rPr>
        <w:t xml:space="preserve"> Закона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отдельно для каждой области, города республиканского значения, столицы.</w:t>
      </w:r>
    </w:p>
    <w:bookmarkEnd w:id="9"/>
    <w:bookmarkStart w:name="z18" w:id="10"/>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10"/>
    <w:bookmarkStart w:name="z19" w:id="11"/>
    <w:p>
      <w:pPr>
        <w:spacing w:after="0"/>
        <w:ind w:left="0"/>
        <w:jc w:val="both"/>
      </w:pPr>
      <w:r>
        <w:rPr>
          <w:rFonts w:ascii="Times New Roman"/>
          <w:b w:val="false"/>
          <w:i w:val="false"/>
          <w:color w:val="000000"/>
          <w:sz w:val="28"/>
        </w:rPr>
        <w:t>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w:t>
      </w:r>
    </w:p>
    <w:bookmarkEnd w:id="11"/>
    <w:bookmarkStart w:name="z20" w:id="12"/>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12"/>
    <w:bookmarkStart w:name="z21" w:id="13"/>
    <w:p>
      <w:pPr>
        <w:spacing w:after="0"/>
        <w:ind w:left="0"/>
        <w:jc w:val="both"/>
      </w:pPr>
      <w:r>
        <w:rPr>
          <w:rFonts w:ascii="Times New Roman"/>
          <w:b w:val="false"/>
          <w:i w:val="false"/>
          <w:color w:val="000000"/>
          <w:sz w:val="28"/>
        </w:rPr>
        <w:t>
      дополнить пунктом 4-1 следующего содержания:</w:t>
      </w:r>
    </w:p>
    <w:bookmarkEnd w:id="13"/>
    <w:bookmarkStart w:name="z22" w:id="14"/>
    <w:p>
      <w:pPr>
        <w:spacing w:after="0"/>
        <w:ind w:left="0"/>
        <w:jc w:val="both"/>
      </w:pPr>
      <w:r>
        <w:rPr>
          <w:rFonts w:ascii="Times New Roman"/>
          <w:b w:val="false"/>
          <w:i w:val="false"/>
          <w:color w:val="000000"/>
          <w:sz w:val="28"/>
        </w:rPr>
        <w:t xml:space="preserve">
      "4-1. В соответствии с пунктами 2-3 и 2-4 </w:t>
      </w:r>
      <w:r>
        <w:rPr>
          <w:rFonts w:ascii="Times New Roman"/>
          <w:b w:val="false"/>
          <w:i w:val="false"/>
          <w:color w:val="000000"/>
          <w:sz w:val="28"/>
        </w:rPr>
        <w:t>статьи 20</w:t>
      </w:r>
      <w:r>
        <w:rPr>
          <w:rFonts w:ascii="Times New Roman"/>
          <w:b w:val="false"/>
          <w:i w:val="false"/>
          <w:color w:val="000000"/>
          <w:sz w:val="28"/>
        </w:rPr>
        <w:t xml:space="preserve"> Закона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w:t>
      </w:r>
    </w:p>
    <w:bookmarkEnd w:id="14"/>
    <w:bookmarkStart w:name="z23" w:id="15"/>
    <w:p>
      <w:pPr>
        <w:spacing w:after="0"/>
        <w:ind w:left="0"/>
        <w:jc w:val="both"/>
      </w:pPr>
      <w:r>
        <w:rPr>
          <w:rFonts w:ascii="Times New Roman"/>
          <w:b w:val="false"/>
          <w:i w:val="false"/>
          <w:color w:val="000000"/>
          <w:sz w:val="28"/>
        </w:rPr>
        <w:t>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15"/>
    <w:bookmarkStart w:name="z24" w:id="16"/>
    <w:p>
      <w:pPr>
        <w:spacing w:after="0"/>
        <w:ind w:left="0"/>
        <w:jc w:val="both"/>
      </w:pPr>
      <w:r>
        <w:rPr>
          <w:rFonts w:ascii="Times New Roman"/>
          <w:b w:val="false"/>
          <w:i w:val="false"/>
          <w:color w:val="000000"/>
          <w:sz w:val="28"/>
        </w:rPr>
        <w:t>
      социально значимых продовольственных товаров;</w:t>
      </w:r>
    </w:p>
    <w:bookmarkEnd w:id="16"/>
    <w:bookmarkStart w:name="z25" w:id="17"/>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7" w:id="18"/>
    <w:p>
      <w:pPr>
        <w:spacing w:after="0"/>
        <w:ind w:left="0"/>
        <w:jc w:val="both"/>
      </w:pPr>
      <w:r>
        <w:rPr>
          <w:rFonts w:ascii="Times New Roman"/>
          <w:b w:val="false"/>
          <w:i w:val="false"/>
          <w:color w:val="000000"/>
          <w:sz w:val="28"/>
        </w:rPr>
        <w:t>
      "7.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крупных коммерческих потребителей, разрабатывается исходя из суммы:</w:t>
      </w:r>
    </w:p>
    <w:bookmarkEnd w:id="18"/>
    <w:bookmarkStart w:name="z28" w:id="19"/>
    <w:p>
      <w:pPr>
        <w:spacing w:after="0"/>
        <w:ind w:left="0"/>
        <w:jc w:val="both"/>
      </w:pPr>
      <w:r>
        <w:rPr>
          <w:rFonts w:ascii="Times New Roman"/>
          <w:b w:val="false"/>
          <w:i w:val="false"/>
          <w:color w:val="000000"/>
          <w:sz w:val="28"/>
        </w:rPr>
        <w:t>
      1) совокупности средневзвешенных значений:</w:t>
      </w:r>
    </w:p>
    <w:bookmarkEnd w:id="19"/>
    <w:bookmarkStart w:name="z29" w:id="20"/>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20"/>
    <w:bookmarkStart w:name="z30" w:id="21"/>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21"/>
    <w:bookmarkStart w:name="z31" w:id="22"/>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22"/>
    <w:bookmarkStart w:name="z32" w:id="23"/>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23"/>
    <w:bookmarkStart w:name="z33" w:id="24"/>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24"/>
    <w:bookmarkStart w:name="z34" w:id="25"/>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7 % от совокупности средневзвешенных значений, указанных в подпункте 1) настоящего пункта;</w:t>
      </w:r>
    </w:p>
    <w:bookmarkEnd w:id="25"/>
    <w:bookmarkStart w:name="z35" w:id="26"/>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0% от совокупности средневзвешенных значений, указанных в подпункте 1) настоящего пункта;</w:t>
      </w:r>
    </w:p>
    <w:bookmarkEnd w:id="26"/>
    <w:bookmarkStart w:name="z36" w:id="27"/>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для крупных коммерческих потребителей, годовой объем потребления товарного газа которых составляет в диапазонах свыше 10 млн м</w:t>
      </w:r>
      <w:r>
        <w:rPr>
          <w:rFonts w:ascii="Times New Roman"/>
          <w:b w:val="false"/>
          <w:i w:val="false"/>
          <w:color w:val="000000"/>
          <w:vertAlign w:val="superscript"/>
        </w:rPr>
        <w:t>3</w:t>
      </w:r>
      <w:r>
        <w:rPr>
          <w:rFonts w:ascii="Times New Roman"/>
          <w:b w:val="false"/>
          <w:i w:val="false"/>
          <w:color w:val="000000"/>
          <w:sz w:val="28"/>
        </w:rPr>
        <w:t>, но менее 100 млн м</w:t>
      </w:r>
      <w:r>
        <w:rPr>
          <w:rFonts w:ascii="Times New Roman"/>
          <w:b w:val="false"/>
          <w:i w:val="false"/>
          <w:color w:val="000000"/>
          <w:vertAlign w:val="superscript"/>
        </w:rPr>
        <w:t>3</w:t>
      </w:r>
      <w:r>
        <w:rPr>
          <w:rFonts w:ascii="Times New Roman"/>
          <w:b w:val="false"/>
          <w:i w:val="false"/>
          <w:color w:val="000000"/>
          <w:sz w:val="28"/>
        </w:rPr>
        <w:t>, свыше 100 млн м</w:t>
      </w:r>
      <w:r>
        <w:rPr>
          <w:rFonts w:ascii="Times New Roman"/>
          <w:b w:val="false"/>
          <w:i w:val="false"/>
          <w:color w:val="000000"/>
          <w:vertAlign w:val="superscript"/>
        </w:rPr>
        <w:t>3</w:t>
      </w:r>
      <w:r>
        <w:rPr>
          <w:rFonts w:ascii="Times New Roman"/>
          <w:b w:val="false"/>
          <w:i w:val="false"/>
          <w:color w:val="000000"/>
          <w:sz w:val="28"/>
        </w:rPr>
        <w:t>, но менее 300 млн м</w:t>
      </w:r>
      <w:r>
        <w:rPr>
          <w:rFonts w:ascii="Times New Roman"/>
          <w:b w:val="false"/>
          <w:i w:val="false"/>
          <w:color w:val="000000"/>
          <w:vertAlign w:val="superscript"/>
        </w:rPr>
        <w:t>3</w:t>
      </w:r>
      <w:r>
        <w:rPr>
          <w:rFonts w:ascii="Times New Roman"/>
          <w:b w:val="false"/>
          <w:i w:val="false"/>
          <w:color w:val="000000"/>
          <w:sz w:val="28"/>
        </w:rPr>
        <w:t>, свыше 300 млн м</w:t>
      </w:r>
      <w:r>
        <w:rPr>
          <w:rFonts w:ascii="Times New Roman"/>
          <w:b w:val="false"/>
          <w:i w:val="false"/>
          <w:color w:val="000000"/>
          <w:vertAlign w:val="superscript"/>
        </w:rPr>
        <w:t>3</w:t>
      </w:r>
      <w:r>
        <w:rPr>
          <w:rFonts w:ascii="Times New Roman"/>
          <w:b w:val="false"/>
          <w:i w:val="false"/>
          <w:color w:val="000000"/>
          <w:sz w:val="28"/>
        </w:rPr>
        <w:t>, но менее 500 млн м</w:t>
      </w:r>
      <w:r>
        <w:rPr>
          <w:rFonts w:ascii="Times New Roman"/>
          <w:b w:val="false"/>
          <w:i w:val="false"/>
          <w:color w:val="000000"/>
          <w:vertAlign w:val="superscript"/>
        </w:rPr>
        <w:t>3</w:t>
      </w:r>
      <w:r>
        <w:rPr>
          <w:rFonts w:ascii="Times New Roman"/>
          <w:b w:val="false"/>
          <w:i w:val="false"/>
          <w:color w:val="000000"/>
          <w:sz w:val="28"/>
        </w:rPr>
        <w:t xml:space="preserve"> рассчитывается на первый год по следующей формуле:</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1536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где,</w:t>
      </w:r>
    </w:p>
    <w:bookmarkEnd w:id="29"/>
    <w:bookmarkStart w:name="z3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для крупных коммерческих потребителей, тенге за тысячу кубических метров;</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совокупность средневзвешенных значений, указанных в подпунктах 1) и 2) настоящего пункта, тенге за тысячу кубических метров;</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32"/>
    <w:bookmarkStart w:name="z42" w:id="33"/>
    <w:p>
      <w:pPr>
        <w:spacing w:after="0"/>
        <w:ind w:left="0"/>
        <w:jc w:val="both"/>
      </w:pPr>
      <w:r>
        <w:rPr>
          <w:rFonts w:ascii="Times New Roman"/>
          <w:b w:val="false"/>
          <w:i w:val="false"/>
          <w:color w:val="000000"/>
          <w:sz w:val="28"/>
        </w:rPr>
        <w:t>
      Предельная цена оптовой реализации на внутреннем рынке Республики Казахстан для крупных коммерческих потребителей, годовой объем потребления товарного газа которых составляет в диапазонах свыше 10 млн м</w:t>
      </w:r>
      <w:r>
        <w:rPr>
          <w:rFonts w:ascii="Times New Roman"/>
          <w:b w:val="false"/>
          <w:i w:val="false"/>
          <w:color w:val="000000"/>
          <w:vertAlign w:val="superscript"/>
        </w:rPr>
        <w:t>3</w:t>
      </w:r>
      <w:r>
        <w:rPr>
          <w:rFonts w:ascii="Times New Roman"/>
          <w:b w:val="false"/>
          <w:i w:val="false"/>
          <w:color w:val="000000"/>
          <w:sz w:val="28"/>
        </w:rPr>
        <w:t>, но менее 100 млн. м</w:t>
      </w:r>
      <w:r>
        <w:rPr>
          <w:rFonts w:ascii="Times New Roman"/>
          <w:b w:val="false"/>
          <w:i w:val="false"/>
          <w:color w:val="000000"/>
          <w:vertAlign w:val="superscript"/>
        </w:rPr>
        <w:t>3</w:t>
      </w:r>
      <w:r>
        <w:rPr>
          <w:rFonts w:ascii="Times New Roman"/>
          <w:b w:val="false"/>
          <w:i w:val="false"/>
          <w:color w:val="000000"/>
          <w:sz w:val="28"/>
        </w:rPr>
        <w:t>, свыше 100 млн м</w:t>
      </w:r>
      <w:r>
        <w:rPr>
          <w:rFonts w:ascii="Times New Roman"/>
          <w:b w:val="false"/>
          <w:i w:val="false"/>
          <w:color w:val="000000"/>
          <w:vertAlign w:val="superscript"/>
        </w:rPr>
        <w:t>3</w:t>
      </w:r>
      <w:r>
        <w:rPr>
          <w:rFonts w:ascii="Times New Roman"/>
          <w:b w:val="false"/>
          <w:i w:val="false"/>
          <w:color w:val="000000"/>
          <w:sz w:val="28"/>
        </w:rPr>
        <w:t>, но менее 300 млн м</w:t>
      </w:r>
      <w:r>
        <w:rPr>
          <w:rFonts w:ascii="Times New Roman"/>
          <w:b w:val="false"/>
          <w:i w:val="false"/>
          <w:color w:val="000000"/>
          <w:vertAlign w:val="superscript"/>
        </w:rPr>
        <w:t>3</w:t>
      </w:r>
      <w:r>
        <w:rPr>
          <w:rFonts w:ascii="Times New Roman"/>
          <w:b w:val="false"/>
          <w:i w:val="false"/>
          <w:color w:val="000000"/>
          <w:sz w:val="28"/>
        </w:rPr>
        <w:t>, свыше 300 млн м</w:t>
      </w:r>
      <w:r>
        <w:rPr>
          <w:rFonts w:ascii="Times New Roman"/>
          <w:b w:val="false"/>
          <w:i w:val="false"/>
          <w:color w:val="000000"/>
          <w:vertAlign w:val="superscript"/>
        </w:rPr>
        <w:t>3</w:t>
      </w:r>
      <w:r>
        <w:rPr>
          <w:rFonts w:ascii="Times New Roman"/>
          <w:b w:val="false"/>
          <w:i w:val="false"/>
          <w:color w:val="000000"/>
          <w:sz w:val="28"/>
        </w:rPr>
        <w:t>, но менее 500 млн м</w:t>
      </w:r>
      <w:r>
        <w:rPr>
          <w:rFonts w:ascii="Times New Roman"/>
          <w:b w:val="false"/>
          <w:i w:val="false"/>
          <w:color w:val="000000"/>
          <w:vertAlign w:val="superscript"/>
        </w:rPr>
        <w:t>3</w:t>
      </w:r>
      <w:r>
        <w:rPr>
          <w:rFonts w:ascii="Times New Roman"/>
          <w:b w:val="false"/>
          <w:i w:val="false"/>
          <w:color w:val="000000"/>
          <w:sz w:val="28"/>
        </w:rPr>
        <w:t>, на каждый последующий год рассчитывается по следующей формуле:</w:t>
      </w:r>
    </w:p>
    <w:bookmarkEnd w:id="33"/>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62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где,</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для крупных коммерческих потребителей на последующие годы, тенге за тысячу кубических метров;</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для крупных коммерческих потребителей за предыдущий год, тенге за тысячу кубических метров;</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38"/>
    <w:bookmarkStart w:name="z48" w:id="39"/>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384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48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63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292100"/>
                    </a:xfrm>
                    <a:prstGeom prst="rect">
                      <a:avLst/>
                    </a:prstGeom>
                  </pic:spPr>
                </pic:pic>
              </a:graphicData>
            </a:graphic>
          </wp:inline>
        </w:drawing>
      </w:r>
    </w:p>
    <w:p>
      <w:pPr>
        <w:spacing w:after="0"/>
        <w:ind w:left="0"/>
        <w:jc w:val="left"/>
      </w:pPr>
      <w:r>
        <w:rPr>
          <w:rFonts w:ascii="Times New Roman"/>
          <w:b w:val="false"/>
          <w:i w:val="false"/>
          <w:color w:val="000000"/>
          <w:sz w:val="28"/>
        </w:rPr>
        <w:t>–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В случае, если предельная цена оптовой реализации товарного газа на внутреннем рынке Республики Казахстан для крупных коммерческих потребителей превышает предельную цену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45"/>
    <w:bookmarkStart w:name="z55" w:id="46"/>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для крупных коммерческих потребителей, годовой объем потребления товарного газа которых составляет свыше 500 млн м</w:t>
      </w:r>
      <w:r>
        <w:rPr>
          <w:rFonts w:ascii="Times New Roman"/>
          <w:b w:val="false"/>
          <w:i w:val="false"/>
          <w:color w:val="000000"/>
          <w:vertAlign w:val="superscript"/>
        </w:rPr>
        <w:t>3</w:t>
      </w:r>
      <w:r>
        <w:rPr>
          <w:rFonts w:ascii="Times New Roman"/>
          <w:b w:val="false"/>
          <w:i w:val="false"/>
          <w:color w:val="000000"/>
          <w:sz w:val="28"/>
        </w:rPr>
        <w:t>, лиц, осуществляющих цифровой майнинг, или лиц по производству электрической энергии для осуществления цифрового майнинга, на первый и последующие годы рассчитывается согласно формуле предельной цены оптовой реализации товарного газа на внутреннем рынке Республики Казахстан, формируемой по принципу экспортного нетбэка.";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57" w:id="47"/>
    <w:p>
      <w:pPr>
        <w:spacing w:after="0"/>
        <w:ind w:left="0"/>
        <w:jc w:val="both"/>
      </w:pPr>
      <w:r>
        <w:rPr>
          <w:rFonts w:ascii="Times New Roman"/>
          <w:b w:val="false"/>
          <w:i w:val="false"/>
          <w:color w:val="000000"/>
          <w:sz w:val="28"/>
        </w:rPr>
        <w:t>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пунктом 7 настоящих Правил, не может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w:t>
      </w:r>
    </w:p>
    <w:bookmarkEnd w:id="47"/>
    <w:bookmarkStart w:name="z58" w:id="48"/>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или лиц по производству электрической энергии для осуществления цифрового майнинга.";</w:t>
      </w:r>
    </w:p>
    <w:bookmarkEnd w:id="48"/>
    <w:bookmarkStart w:name="z59"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9"/>
    <w:bookmarkStart w:name="z60" w:id="50"/>
    <w:p>
      <w:pPr>
        <w:spacing w:after="0"/>
        <w:ind w:left="0"/>
        <w:jc w:val="both"/>
      </w:pPr>
      <w:r>
        <w:rPr>
          <w:rFonts w:ascii="Times New Roman"/>
          <w:b w:val="false"/>
          <w:i w:val="false"/>
          <w:color w:val="000000"/>
          <w:sz w:val="28"/>
        </w:rPr>
        <w:t>
      абзац первый ислючить;</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62" w:id="51"/>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3-2 и </w:t>
      </w:r>
      <w:r>
        <w:rPr>
          <w:rFonts w:ascii="Times New Roman"/>
          <w:b w:val="false"/>
          <w:i w:val="false"/>
          <w:color w:val="000000"/>
          <w:sz w:val="28"/>
        </w:rPr>
        <w:t>3-3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а также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 с последующим утверждением на пятилетний период с 1 июля и при необходимости корректируются ежегодно 1 июля.</w:t>
      </w:r>
    </w:p>
    <w:bookmarkEnd w:id="51"/>
    <w:bookmarkStart w:name="z63" w:id="52"/>
    <w:p>
      <w:pPr>
        <w:spacing w:after="0"/>
        <w:ind w:left="0"/>
        <w:jc w:val="both"/>
      </w:pPr>
      <w:r>
        <w:rPr>
          <w:rFonts w:ascii="Times New Roman"/>
          <w:b w:val="false"/>
          <w:i w:val="false"/>
          <w:color w:val="000000"/>
          <w:sz w:val="28"/>
        </w:rPr>
        <w:t>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52"/>
    <w:bookmarkStart w:name="z64" w:id="53"/>
    <w:p>
      <w:pPr>
        <w:spacing w:after="0"/>
        <w:ind w:left="0"/>
        <w:jc w:val="both"/>
      </w:pPr>
      <w:r>
        <w:rPr>
          <w:rFonts w:ascii="Times New Roman"/>
          <w:b w:val="false"/>
          <w:i w:val="false"/>
          <w:color w:val="000000"/>
          <w:sz w:val="28"/>
        </w:rPr>
        <w:t>
      крупным коммерческим потребителям;</w:t>
      </w:r>
    </w:p>
    <w:bookmarkEnd w:id="53"/>
    <w:bookmarkStart w:name="z65" w:id="54"/>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bookmarkStart w:name="z67" w:id="55"/>
    <w:p>
      <w:pPr>
        <w:spacing w:after="0"/>
        <w:ind w:left="0"/>
        <w:jc w:val="both"/>
      </w:pPr>
      <w:r>
        <w:rPr>
          <w:rFonts w:ascii="Times New Roman"/>
          <w:b w:val="false"/>
          <w:i w:val="false"/>
          <w:color w:val="000000"/>
          <w:sz w:val="28"/>
        </w:rPr>
        <w:t>
      "20. Уровень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планируемый период не может предусматривать увеличение уровня предельной цены сжиженного нефтяного газа по сравнению с текущим уровнем более чем на двадцать процентов в течение одного календарного года.";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w:t>
      </w:r>
    </w:p>
    <w:bookmarkStart w:name="z69" w:id="56"/>
    <w:p>
      <w:pPr>
        <w:spacing w:after="0"/>
        <w:ind w:left="0"/>
        <w:jc w:val="both"/>
      </w:pPr>
      <w:r>
        <w:rPr>
          <w:rFonts w:ascii="Times New Roman"/>
          <w:b w:val="false"/>
          <w:i w:val="false"/>
          <w:color w:val="000000"/>
          <w:sz w:val="28"/>
        </w:rPr>
        <w:t>
      "22. Уполномоченный орган, осуществляющий руководство в соответствующих сферах естественных монополий, запрашивает в уполномоченном органе дополнительную информацию, необходимую для согласования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которая предоставляется в срок не позднее пяти календарных дней с даты получения такого запроса.</w:t>
      </w:r>
    </w:p>
    <w:bookmarkEnd w:id="56"/>
    <w:bookmarkStart w:name="z70" w:id="57"/>
    <w:p>
      <w:pPr>
        <w:spacing w:after="0"/>
        <w:ind w:left="0"/>
        <w:jc w:val="both"/>
      </w:pPr>
      <w:r>
        <w:rPr>
          <w:rFonts w:ascii="Times New Roman"/>
          <w:b w:val="false"/>
          <w:i w:val="false"/>
          <w:color w:val="000000"/>
          <w:sz w:val="28"/>
        </w:rPr>
        <w:t>
      23. В случае непредставления уполномоченным органом в установленные сроки информации, указанной в пунктах 10, 11, 12, 21 и 22 настоящих Правил, уполномоченный орган, осуществляющий руководство в соответствующих сферах естественных монополий, отказывает в согласовании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57"/>
    <w:bookmarkStart w:name="z71" w:id="58"/>
    <w:p>
      <w:pPr>
        <w:spacing w:after="0"/>
        <w:ind w:left="0"/>
        <w:jc w:val="both"/>
      </w:pPr>
      <w:r>
        <w:rPr>
          <w:rFonts w:ascii="Times New Roman"/>
          <w:b w:val="false"/>
          <w:i w:val="false"/>
          <w:color w:val="000000"/>
          <w:sz w:val="28"/>
        </w:rPr>
        <w:t>
      При этом уполномоченный орган по согласованию с уполномоченным органом, осуществляющим руководство в соответствующих сферах естественных монополий, в сроки, указанные в пунктах 13, 14 и 24 настоящих Правил, утверждает предельные цены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уровне текущего периода.".</w:t>
      </w:r>
    </w:p>
    <w:bookmarkEnd w:id="58"/>
    <w:bookmarkStart w:name="z72" w:id="59"/>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59"/>
    <w:bookmarkStart w:name="z73" w:id="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0"/>
    <w:bookmarkStart w:name="z74" w:id="61"/>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1"/>
    <w:bookmarkStart w:name="z75" w:id="6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2"/>
    <w:bookmarkStart w:name="z76" w:id="6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3"/>
    <w:bookmarkStart w:name="z77" w:id="6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79"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