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a3cb" w14:textId="b1ba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мая 2023 года № 463. Зарегистрирован в Министерстве юстиции Республики Казахстан 5 мая 2023 года № 32438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4"/>
    <w:bookmarkStart w:name="z10" w:id="5"/>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5"/>
    <w:bookmarkStart w:name="z11" w:id="6"/>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6"/>
    <w:bookmarkStart w:name="z12" w:id="7"/>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7"/>
    <w:bookmarkStart w:name="z13" w:id="8"/>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8"/>
    <w:bookmarkStart w:name="z14" w:id="9"/>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9"/>
    <w:bookmarkStart w:name="z15" w:id="10"/>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0"/>
    <w:bookmarkStart w:name="z16" w:id="11"/>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1"/>
    <w:bookmarkStart w:name="z17" w:id="12"/>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2"/>
    <w:bookmarkStart w:name="z18" w:id="13"/>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3"/>
    <w:bookmarkStart w:name="z19" w:id="14"/>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4"/>
    <w:bookmarkStart w:name="z20" w:id="15"/>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5"/>
    <w:bookmarkStart w:name="z21" w:id="16"/>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6"/>
    <w:bookmarkStart w:name="z22" w:id="17"/>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7"/>
    <w:bookmarkStart w:name="z23" w:id="18"/>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8"/>
    <w:bookmarkStart w:name="z24" w:id="19"/>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19"/>
    <w:bookmarkStart w:name="z25" w:id="20"/>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0"/>
    <w:bookmarkStart w:name="z26" w:id="21"/>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1"/>
    <w:bookmarkStart w:name="z27" w:id="22"/>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2"/>
    <w:bookmarkStart w:name="z28" w:id="23"/>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3"/>
    <w:bookmarkStart w:name="z29" w:id="24"/>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4"/>
    <w:bookmarkStart w:name="z30" w:id="25"/>
    <w:p>
      <w:pPr>
        <w:spacing w:after="0"/>
        <w:ind w:left="0"/>
        <w:jc w:val="both"/>
      </w:pPr>
      <w:r>
        <w:rPr>
          <w:rFonts w:ascii="Times New Roman"/>
          <w:b w:val="false"/>
          <w:i w:val="false"/>
          <w:color w:val="000000"/>
          <w:sz w:val="28"/>
        </w:rPr>
        <w:t>
      обращающиеся на рынке товары являются однородными;</w:t>
      </w:r>
    </w:p>
    <w:bookmarkEnd w:id="25"/>
    <w:bookmarkStart w:name="z31" w:id="26"/>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6"/>
    <w:bookmarkStart w:name="z32" w:id="27"/>
    <w:p>
      <w:pPr>
        <w:spacing w:after="0"/>
        <w:ind w:left="0"/>
        <w:jc w:val="both"/>
      </w:pPr>
      <w:r>
        <w:rPr>
          <w:rFonts w:ascii="Times New Roman"/>
          <w:b w:val="false"/>
          <w:i w:val="false"/>
          <w:color w:val="000000"/>
          <w:sz w:val="28"/>
        </w:rPr>
        <w:t>
      информация о ценах является общедоступной;</w:t>
      </w:r>
    </w:p>
    <w:bookmarkEnd w:id="27"/>
    <w:bookmarkStart w:name="z33" w:id="28"/>
    <w:p>
      <w:pPr>
        <w:spacing w:after="0"/>
        <w:ind w:left="0"/>
        <w:jc w:val="both"/>
      </w:pPr>
      <w:r>
        <w:rPr>
          <w:rFonts w:ascii="Times New Roman"/>
          <w:b w:val="false"/>
          <w:i w:val="false"/>
          <w:color w:val="000000"/>
          <w:sz w:val="28"/>
        </w:rPr>
        <w:t>
      22) биологический актив – животное или растение;</w:t>
      </w:r>
    </w:p>
    <w:bookmarkEnd w:id="28"/>
    <w:bookmarkStart w:name="z34" w:id="29"/>
    <w:p>
      <w:pPr>
        <w:spacing w:after="0"/>
        <w:ind w:left="0"/>
        <w:jc w:val="both"/>
      </w:pPr>
      <w:r>
        <w:rPr>
          <w:rFonts w:ascii="Times New Roman"/>
          <w:b w:val="false"/>
          <w:i w:val="false"/>
          <w:color w:val="000000"/>
          <w:sz w:val="28"/>
        </w:rPr>
        <w:t>
      23) доходы будущих периодов – доходы, относящиеся к будущим отчетным периодам, но фактически полученные в отчетном периоде;</w:t>
      </w:r>
    </w:p>
    <w:bookmarkEnd w:id="29"/>
    <w:bookmarkStart w:name="z35" w:id="30"/>
    <w:p>
      <w:pPr>
        <w:spacing w:after="0"/>
        <w:ind w:left="0"/>
        <w:jc w:val="both"/>
      </w:pPr>
      <w:r>
        <w:rPr>
          <w:rFonts w:ascii="Times New Roman"/>
          <w:b w:val="false"/>
          <w:i w:val="false"/>
          <w:color w:val="000000"/>
          <w:sz w:val="28"/>
        </w:rPr>
        <w:t>
      24) расходы будущих периодов – расходы, произведенные в настоящем периоде, но относящиеся к будущим периодам;</w:t>
      </w:r>
    </w:p>
    <w:bookmarkEnd w:id="30"/>
    <w:bookmarkStart w:name="z36" w:id="31"/>
    <w:p>
      <w:pPr>
        <w:spacing w:after="0"/>
        <w:ind w:left="0"/>
        <w:jc w:val="both"/>
      </w:pPr>
      <w:r>
        <w:rPr>
          <w:rFonts w:ascii="Times New Roman"/>
          <w:b w:val="false"/>
          <w:i w:val="false"/>
          <w:color w:val="000000"/>
          <w:sz w:val="28"/>
        </w:rPr>
        <w:t>
      25)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1"/>
    <w:bookmarkStart w:name="z37" w:id="32"/>
    <w:p>
      <w:pPr>
        <w:spacing w:after="0"/>
        <w:ind w:left="0"/>
        <w:jc w:val="both"/>
      </w:pPr>
      <w:r>
        <w:rPr>
          <w:rFonts w:ascii="Times New Roman"/>
          <w:b w:val="false"/>
          <w:i w:val="false"/>
          <w:color w:val="000000"/>
          <w:sz w:val="28"/>
        </w:rPr>
        <w:t>
      26) участник совместного предприятия – сторона в совместном предприятии имеющая совместный контроль над этим совместным предприятием;</w:t>
      </w:r>
    </w:p>
    <w:bookmarkEnd w:id="32"/>
    <w:bookmarkStart w:name="z38" w:id="33"/>
    <w:p>
      <w:pPr>
        <w:spacing w:after="0"/>
        <w:ind w:left="0"/>
        <w:jc w:val="both"/>
      </w:pPr>
      <w:r>
        <w:rPr>
          <w:rFonts w:ascii="Times New Roman"/>
          <w:b w:val="false"/>
          <w:i w:val="false"/>
          <w:color w:val="000000"/>
          <w:sz w:val="28"/>
        </w:rPr>
        <w:t>
      27) совместная деятельность – деятельность, совместно контролируемая двумя или более сторонами;</w:t>
      </w:r>
    </w:p>
    <w:bookmarkEnd w:id="33"/>
    <w:bookmarkStart w:name="z39" w:id="34"/>
    <w:p>
      <w:pPr>
        <w:spacing w:after="0"/>
        <w:ind w:left="0"/>
        <w:jc w:val="both"/>
      </w:pPr>
      <w:r>
        <w:rPr>
          <w:rFonts w:ascii="Times New Roman"/>
          <w:b w:val="false"/>
          <w:i w:val="false"/>
          <w:color w:val="000000"/>
          <w:sz w:val="28"/>
        </w:rPr>
        <w:t xml:space="preserve">
      28)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финансов Республики Казахстан от 22 февраля 2013 года № 99 и Постановлением Правления Национального Банка Республики Казахстан от 25 января 2013 года № 15 "О порядке определения рыночного курса обмена валюты" (зарегистрирован в Реестре государственной регистрации нормативных правовых актов № 8378);</w:t>
      </w:r>
    </w:p>
    <w:bookmarkEnd w:id="34"/>
    <w:bookmarkStart w:name="z40" w:id="35"/>
    <w:p>
      <w:pPr>
        <w:spacing w:after="0"/>
        <w:ind w:left="0"/>
        <w:jc w:val="both"/>
      </w:pPr>
      <w:r>
        <w:rPr>
          <w:rFonts w:ascii="Times New Roman"/>
          <w:b w:val="false"/>
          <w:i w:val="false"/>
          <w:color w:val="000000"/>
          <w:sz w:val="28"/>
        </w:rPr>
        <w:t>
      29) вексель – платежный документ строго установленной формы, содержащий одностороннее безусловное денежное обязательство</w:t>
      </w:r>
    </w:p>
    <w:bookmarkEnd w:id="35"/>
    <w:bookmarkStart w:name="z41" w:id="36"/>
    <w:p>
      <w:pPr>
        <w:spacing w:after="0"/>
        <w:ind w:left="0"/>
        <w:jc w:val="both"/>
      </w:pPr>
      <w:r>
        <w:rPr>
          <w:rFonts w:ascii="Times New Roman"/>
          <w:b w:val="false"/>
          <w:i w:val="false"/>
          <w:color w:val="000000"/>
          <w:sz w:val="28"/>
        </w:rPr>
        <w:t>
      30)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6"/>
    <w:bookmarkStart w:name="z42" w:id="37"/>
    <w:p>
      <w:pPr>
        <w:spacing w:after="0"/>
        <w:ind w:left="0"/>
        <w:jc w:val="both"/>
      </w:pPr>
      <w:r>
        <w:rPr>
          <w:rFonts w:ascii="Times New Roman"/>
          <w:b w:val="false"/>
          <w:i w:val="false"/>
          <w:color w:val="000000"/>
          <w:sz w:val="28"/>
        </w:rPr>
        <w:t>
      31)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37"/>
    <w:bookmarkStart w:name="z43" w:id="38"/>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38"/>
    <w:bookmarkStart w:name="z44" w:id="39"/>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39"/>
    <w:bookmarkStart w:name="z45" w:id="40"/>
    <w:p>
      <w:pPr>
        <w:spacing w:after="0"/>
        <w:ind w:left="0"/>
        <w:jc w:val="both"/>
      </w:pPr>
      <w:r>
        <w:rPr>
          <w:rFonts w:ascii="Times New Roman"/>
          <w:b w:val="false"/>
          <w:i w:val="false"/>
          <w:color w:val="000000"/>
          <w:sz w:val="28"/>
        </w:rPr>
        <w:t>
      арендатором;</w:t>
      </w:r>
    </w:p>
    <w:bookmarkEnd w:id="40"/>
    <w:bookmarkStart w:name="z46" w:id="41"/>
    <w:p>
      <w:pPr>
        <w:spacing w:after="0"/>
        <w:ind w:left="0"/>
        <w:jc w:val="both"/>
      </w:pPr>
      <w:r>
        <w:rPr>
          <w:rFonts w:ascii="Times New Roman"/>
          <w:b w:val="false"/>
          <w:i w:val="false"/>
          <w:color w:val="000000"/>
          <w:sz w:val="28"/>
        </w:rPr>
        <w:t>
      стороной, связанной с арендатором;</w:t>
      </w:r>
    </w:p>
    <w:bookmarkEnd w:id="41"/>
    <w:bookmarkStart w:name="z47" w:id="42"/>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2"/>
    <w:bookmarkStart w:name="z48" w:id="43"/>
    <w:p>
      <w:pPr>
        <w:spacing w:after="0"/>
        <w:ind w:left="0"/>
        <w:jc w:val="both"/>
      </w:pPr>
      <w:r>
        <w:rPr>
          <w:rFonts w:ascii="Times New Roman"/>
          <w:b w:val="false"/>
          <w:i w:val="false"/>
          <w:color w:val="000000"/>
          <w:sz w:val="28"/>
        </w:rPr>
        <w:t>
      32)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3"/>
    <w:bookmarkStart w:name="z49" w:id="44"/>
    <w:p>
      <w:pPr>
        <w:spacing w:after="0"/>
        <w:ind w:left="0"/>
        <w:jc w:val="both"/>
      </w:pPr>
      <w:r>
        <w:rPr>
          <w:rFonts w:ascii="Times New Roman"/>
          <w:b w:val="false"/>
          <w:i w:val="false"/>
          <w:color w:val="000000"/>
          <w:sz w:val="28"/>
        </w:rPr>
        <w:t>
      33)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4"/>
    <w:bookmarkStart w:name="z50" w:id="45"/>
    <w:p>
      <w:pPr>
        <w:spacing w:after="0"/>
        <w:ind w:left="0"/>
        <w:jc w:val="both"/>
      </w:pPr>
      <w:r>
        <w:rPr>
          <w:rFonts w:ascii="Times New Roman"/>
          <w:b w:val="false"/>
          <w:i w:val="false"/>
          <w:color w:val="000000"/>
          <w:sz w:val="28"/>
        </w:rPr>
        <w:t>
      34)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5"/>
    <w:bookmarkStart w:name="z51" w:id="46"/>
    <w:p>
      <w:pPr>
        <w:spacing w:after="0"/>
        <w:ind w:left="0"/>
        <w:jc w:val="both"/>
      </w:pPr>
      <w:r>
        <w:rPr>
          <w:rFonts w:ascii="Times New Roman"/>
          <w:b w:val="false"/>
          <w:i w:val="false"/>
          <w:color w:val="000000"/>
          <w:sz w:val="28"/>
        </w:rPr>
        <w:t>
      35)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46"/>
    <w:bookmarkStart w:name="z52" w:id="47"/>
    <w:p>
      <w:pPr>
        <w:spacing w:after="0"/>
        <w:ind w:left="0"/>
        <w:jc w:val="both"/>
      </w:pPr>
      <w:r>
        <w:rPr>
          <w:rFonts w:ascii="Times New Roman"/>
          <w:b w:val="false"/>
          <w:i w:val="false"/>
          <w:color w:val="000000"/>
          <w:sz w:val="28"/>
        </w:rPr>
        <w:t>
      36) юридическое обязательство – обязательство, возникающее на основании законодательства или договора;</w:t>
      </w:r>
    </w:p>
    <w:bookmarkEnd w:id="47"/>
    <w:bookmarkStart w:name="z53" w:id="48"/>
    <w:p>
      <w:pPr>
        <w:spacing w:after="0"/>
        <w:ind w:left="0"/>
        <w:jc w:val="both"/>
      </w:pPr>
      <w:r>
        <w:rPr>
          <w:rFonts w:ascii="Times New Roman"/>
          <w:b w:val="false"/>
          <w:i w:val="false"/>
          <w:color w:val="000000"/>
          <w:sz w:val="28"/>
        </w:rPr>
        <w:t>
      37)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48"/>
    <w:bookmarkStart w:name="z54" w:id="49"/>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49"/>
    <w:bookmarkStart w:name="z55" w:id="50"/>
    <w:p>
      <w:pPr>
        <w:spacing w:after="0"/>
        <w:ind w:left="0"/>
        <w:jc w:val="both"/>
      </w:pPr>
      <w:r>
        <w:rPr>
          <w:rFonts w:ascii="Times New Roman"/>
          <w:b w:val="false"/>
          <w:i w:val="false"/>
          <w:color w:val="000000"/>
          <w:sz w:val="28"/>
        </w:rPr>
        <w:t>
      продажи в ходе обычной текущей деятельности;</w:t>
      </w:r>
    </w:p>
    <w:bookmarkEnd w:id="50"/>
    <w:bookmarkStart w:name="z56" w:id="51"/>
    <w:p>
      <w:pPr>
        <w:spacing w:after="0"/>
        <w:ind w:left="0"/>
        <w:jc w:val="both"/>
      </w:pPr>
      <w:r>
        <w:rPr>
          <w:rFonts w:ascii="Times New Roman"/>
          <w:b w:val="false"/>
          <w:i w:val="false"/>
          <w:color w:val="000000"/>
          <w:sz w:val="28"/>
        </w:rPr>
        <w:t>
      38)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1"/>
    <w:bookmarkStart w:name="z57" w:id="52"/>
    <w:p>
      <w:pPr>
        <w:spacing w:after="0"/>
        <w:ind w:left="0"/>
        <w:jc w:val="both"/>
      </w:pPr>
      <w:r>
        <w:rPr>
          <w:rFonts w:ascii="Times New Roman"/>
          <w:b w:val="false"/>
          <w:i w:val="false"/>
          <w:color w:val="000000"/>
          <w:sz w:val="28"/>
        </w:rPr>
        <w:t>
      39)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2"/>
    <w:bookmarkStart w:name="z58" w:id="53"/>
    <w:p>
      <w:pPr>
        <w:spacing w:after="0"/>
        <w:ind w:left="0"/>
        <w:jc w:val="both"/>
      </w:pPr>
      <w:r>
        <w:rPr>
          <w:rFonts w:ascii="Times New Roman"/>
          <w:b w:val="false"/>
          <w:i w:val="false"/>
          <w:color w:val="000000"/>
          <w:sz w:val="28"/>
        </w:rPr>
        <w:t>
      40)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3"/>
    <w:bookmarkStart w:name="z59" w:id="54"/>
    <w:p>
      <w:pPr>
        <w:spacing w:after="0"/>
        <w:ind w:left="0"/>
        <w:jc w:val="both"/>
      </w:pPr>
      <w:r>
        <w:rPr>
          <w:rFonts w:ascii="Times New Roman"/>
          <w:b w:val="false"/>
          <w:i w:val="false"/>
          <w:color w:val="000000"/>
          <w:sz w:val="28"/>
        </w:rPr>
        <w:t>
      41) валюта представления финансовой отчетности – валюта, в которой представляется финансовая отчетность;</w:t>
      </w:r>
    </w:p>
    <w:bookmarkEnd w:id="54"/>
    <w:bookmarkStart w:name="z60" w:id="55"/>
    <w:p>
      <w:pPr>
        <w:spacing w:after="0"/>
        <w:ind w:left="0"/>
        <w:jc w:val="both"/>
      </w:pPr>
      <w:r>
        <w:rPr>
          <w:rFonts w:ascii="Times New Roman"/>
          <w:b w:val="false"/>
          <w:i w:val="false"/>
          <w:color w:val="000000"/>
          <w:sz w:val="28"/>
        </w:rPr>
        <w:t>
      42)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55"/>
    <w:bookmarkStart w:name="z61" w:id="56"/>
    <w:p>
      <w:pPr>
        <w:spacing w:after="0"/>
        <w:ind w:left="0"/>
        <w:jc w:val="both"/>
      </w:pPr>
      <w:r>
        <w:rPr>
          <w:rFonts w:ascii="Times New Roman"/>
          <w:b w:val="false"/>
          <w:i w:val="false"/>
          <w:color w:val="000000"/>
          <w:sz w:val="28"/>
        </w:rPr>
        <w:t>
      43) финансовое обязательство – любое обязательство, которое является договорным обязательством:</w:t>
      </w:r>
    </w:p>
    <w:bookmarkEnd w:id="56"/>
    <w:bookmarkStart w:name="z62" w:id="57"/>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57"/>
    <w:bookmarkStart w:name="z63" w:id="58"/>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58"/>
    <w:bookmarkStart w:name="z64" w:id="59"/>
    <w:p>
      <w:pPr>
        <w:spacing w:after="0"/>
        <w:ind w:left="0"/>
        <w:jc w:val="both"/>
      </w:pPr>
      <w:r>
        <w:rPr>
          <w:rFonts w:ascii="Times New Roman"/>
          <w:b w:val="false"/>
          <w:i w:val="false"/>
          <w:color w:val="000000"/>
          <w:sz w:val="28"/>
        </w:rPr>
        <w:t>
      44) ассоциированная организация – организация на которую инвестор имеет значительное влияние;</w:t>
      </w:r>
    </w:p>
    <w:bookmarkEnd w:id="59"/>
    <w:bookmarkStart w:name="z65" w:id="60"/>
    <w:p>
      <w:pPr>
        <w:spacing w:after="0"/>
        <w:ind w:left="0"/>
        <w:jc w:val="both"/>
      </w:pPr>
      <w:r>
        <w:rPr>
          <w:rFonts w:ascii="Times New Roman"/>
          <w:b w:val="false"/>
          <w:i w:val="false"/>
          <w:color w:val="000000"/>
          <w:sz w:val="28"/>
        </w:rPr>
        <w:t>
      45) запасы – активы:</w:t>
      </w:r>
    </w:p>
    <w:bookmarkEnd w:id="60"/>
    <w:bookmarkStart w:name="z66" w:id="61"/>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1"/>
    <w:bookmarkStart w:name="z67" w:id="62"/>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2"/>
    <w:bookmarkStart w:name="z68" w:id="63"/>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3"/>
    <w:bookmarkStart w:name="z69" w:id="64"/>
    <w:p>
      <w:pPr>
        <w:spacing w:after="0"/>
        <w:ind w:left="0"/>
        <w:jc w:val="both"/>
      </w:pPr>
      <w:r>
        <w:rPr>
          <w:rFonts w:ascii="Times New Roman"/>
          <w:b w:val="false"/>
          <w:i w:val="false"/>
          <w:color w:val="000000"/>
          <w:sz w:val="28"/>
        </w:rPr>
        <w:t>
      производимые для продажи или распределения;</w:t>
      </w:r>
    </w:p>
    <w:bookmarkEnd w:id="64"/>
    <w:bookmarkStart w:name="z70" w:id="65"/>
    <w:p>
      <w:pPr>
        <w:spacing w:after="0"/>
        <w:ind w:left="0"/>
        <w:jc w:val="both"/>
      </w:pPr>
      <w:r>
        <w:rPr>
          <w:rFonts w:ascii="Times New Roman"/>
          <w:b w:val="false"/>
          <w:i w:val="false"/>
          <w:color w:val="000000"/>
          <w:sz w:val="28"/>
        </w:rPr>
        <w:t>
      46) нематериальный актив – идентифицируемый немонетарный актив, не имеющий физической формы;</w:t>
      </w:r>
    </w:p>
    <w:bookmarkEnd w:id="65"/>
    <w:bookmarkStart w:name="z71" w:id="66"/>
    <w:p>
      <w:pPr>
        <w:spacing w:after="0"/>
        <w:ind w:left="0"/>
        <w:jc w:val="both"/>
      </w:pPr>
      <w:r>
        <w:rPr>
          <w:rFonts w:ascii="Times New Roman"/>
          <w:b w:val="false"/>
          <w:i w:val="false"/>
          <w:color w:val="000000"/>
          <w:sz w:val="28"/>
        </w:rPr>
        <w:t>
      47)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66"/>
    <w:bookmarkStart w:name="z72" w:id="67"/>
    <w:p>
      <w:pPr>
        <w:spacing w:after="0"/>
        <w:ind w:left="0"/>
        <w:jc w:val="both"/>
      </w:pPr>
      <w:r>
        <w:rPr>
          <w:rFonts w:ascii="Times New Roman"/>
          <w:b w:val="false"/>
          <w:i w:val="false"/>
          <w:color w:val="000000"/>
          <w:sz w:val="28"/>
        </w:rPr>
        <w:t>
      48)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67"/>
    <w:bookmarkStart w:name="z73" w:id="68"/>
    <w:p>
      <w:pPr>
        <w:spacing w:after="0"/>
        <w:ind w:left="0"/>
        <w:jc w:val="both"/>
      </w:pPr>
      <w:r>
        <w:rPr>
          <w:rFonts w:ascii="Times New Roman"/>
          <w:b w:val="false"/>
          <w:i w:val="false"/>
          <w:color w:val="000000"/>
          <w:sz w:val="28"/>
        </w:rPr>
        <w:t>
      49) рыночная котировочная цена – сумма денежных средств, которая может быть получена от продажи или уплачена при приобретении финансового инструмент;</w:t>
      </w:r>
    </w:p>
    <w:bookmarkEnd w:id="68"/>
    <w:bookmarkStart w:name="z74" w:id="69"/>
    <w:p>
      <w:pPr>
        <w:spacing w:after="0"/>
        <w:ind w:left="0"/>
        <w:jc w:val="both"/>
      </w:pPr>
      <w:r>
        <w:rPr>
          <w:rFonts w:ascii="Times New Roman"/>
          <w:b w:val="false"/>
          <w:i w:val="false"/>
          <w:color w:val="000000"/>
          <w:sz w:val="28"/>
        </w:rPr>
        <w:t>
      50) основные средства – материальные объекты, которые:</w:t>
      </w:r>
    </w:p>
    <w:bookmarkEnd w:id="69"/>
    <w:bookmarkStart w:name="z75" w:id="70"/>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0"/>
    <w:bookmarkStart w:name="z76" w:id="71"/>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1"/>
    <w:bookmarkStart w:name="z77" w:id="72"/>
    <w:p>
      <w:pPr>
        <w:spacing w:after="0"/>
        <w:ind w:left="0"/>
        <w:jc w:val="both"/>
      </w:pPr>
      <w:r>
        <w:rPr>
          <w:rFonts w:ascii="Times New Roman"/>
          <w:b w:val="false"/>
          <w:i w:val="false"/>
          <w:color w:val="000000"/>
          <w:sz w:val="28"/>
        </w:rPr>
        <w:t>
      51) операционная аренда – аренда, отличная от финансовой аренды; а на активном рынке;</w:t>
      </w:r>
    </w:p>
    <w:bookmarkEnd w:id="72"/>
    <w:bookmarkStart w:name="z78" w:id="73"/>
    <w:p>
      <w:pPr>
        <w:spacing w:after="0"/>
        <w:ind w:left="0"/>
        <w:jc w:val="both"/>
      </w:pPr>
      <w:r>
        <w:rPr>
          <w:rFonts w:ascii="Times New Roman"/>
          <w:b w:val="false"/>
          <w:i w:val="false"/>
          <w:color w:val="000000"/>
          <w:sz w:val="28"/>
        </w:rPr>
        <w:t>
      52)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73"/>
    <w:bookmarkStart w:name="z79" w:id="74"/>
    <w:p>
      <w:pPr>
        <w:spacing w:after="0"/>
        <w:ind w:left="0"/>
        <w:jc w:val="both"/>
      </w:pPr>
      <w:r>
        <w:rPr>
          <w:rFonts w:ascii="Times New Roman"/>
          <w:b w:val="false"/>
          <w:i w:val="false"/>
          <w:color w:val="000000"/>
          <w:sz w:val="28"/>
        </w:rPr>
        <w:t>
      53)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4"/>
    <w:bookmarkStart w:name="z80" w:id="75"/>
    <w:p>
      <w:pPr>
        <w:spacing w:after="0"/>
        <w:ind w:left="0"/>
        <w:jc w:val="both"/>
      </w:pPr>
      <w:r>
        <w:rPr>
          <w:rFonts w:ascii="Times New Roman"/>
          <w:b w:val="false"/>
          <w:i w:val="false"/>
          <w:color w:val="000000"/>
          <w:sz w:val="28"/>
        </w:rPr>
        <w:t>
      54)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75"/>
    <w:bookmarkStart w:name="z81" w:id="76"/>
    <w:p>
      <w:pPr>
        <w:spacing w:after="0"/>
        <w:ind w:left="0"/>
        <w:jc w:val="both"/>
      </w:pPr>
      <w:r>
        <w:rPr>
          <w:rFonts w:ascii="Times New Roman"/>
          <w:b w:val="false"/>
          <w:i w:val="false"/>
          <w:color w:val="000000"/>
          <w:sz w:val="28"/>
        </w:rPr>
        <w:t>
      55)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76"/>
    <w:bookmarkStart w:name="z82" w:id="77"/>
    <w:p>
      <w:pPr>
        <w:spacing w:after="0"/>
        <w:ind w:left="0"/>
        <w:jc w:val="both"/>
      </w:pPr>
      <w:r>
        <w:rPr>
          <w:rFonts w:ascii="Times New Roman"/>
          <w:b w:val="false"/>
          <w:i w:val="false"/>
          <w:color w:val="000000"/>
          <w:sz w:val="28"/>
        </w:rPr>
        <w:t>
      56)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77"/>
    <w:bookmarkStart w:name="z83" w:id="78"/>
    <w:p>
      <w:pPr>
        <w:spacing w:after="0"/>
        <w:ind w:left="0"/>
        <w:jc w:val="both"/>
      </w:pPr>
      <w:r>
        <w:rPr>
          <w:rFonts w:ascii="Times New Roman"/>
          <w:b w:val="false"/>
          <w:i w:val="false"/>
          <w:color w:val="000000"/>
          <w:sz w:val="28"/>
        </w:rPr>
        <w:t>
      57)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78"/>
    <w:bookmarkStart w:name="z84" w:id="79"/>
    <w:p>
      <w:pPr>
        <w:spacing w:after="0"/>
        <w:ind w:left="0"/>
        <w:jc w:val="both"/>
      </w:pPr>
      <w:r>
        <w:rPr>
          <w:rFonts w:ascii="Times New Roman"/>
          <w:b w:val="false"/>
          <w:i w:val="false"/>
          <w:color w:val="000000"/>
          <w:sz w:val="28"/>
        </w:rPr>
        <w:t>
      58) чистые активы/капитал – доля в активах государственного учреждения, остающаяся после вычета всех его обязательств;</w:t>
      </w:r>
    </w:p>
    <w:bookmarkEnd w:id="79"/>
    <w:bookmarkStart w:name="z85" w:id="80"/>
    <w:p>
      <w:pPr>
        <w:spacing w:after="0"/>
        <w:ind w:left="0"/>
        <w:jc w:val="both"/>
      </w:pPr>
      <w:r>
        <w:rPr>
          <w:rFonts w:ascii="Times New Roman"/>
          <w:b w:val="false"/>
          <w:i w:val="false"/>
          <w:color w:val="000000"/>
          <w:sz w:val="28"/>
        </w:rPr>
        <w:t>
      59)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0"/>
    <w:bookmarkStart w:name="z86" w:id="81"/>
    <w:p>
      <w:pPr>
        <w:spacing w:after="0"/>
        <w:ind w:left="0"/>
        <w:jc w:val="both"/>
      </w:pPr>
      <w:r>
        <w:rPr>
          <w:rFonts w:ascii="Times New Roman"/>
          <w:b w:val="false"/>
          <w:i w:val="false"/>
          <w:color w:val="000000"/>
          <w:sz w:val="28"/>
        </w:rPr>
        <w:t>
      60)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1"/>
    <w:bookmarkStart w:name="z87" w:id="82"/>
    <w:p>
      <w:pPr>
        <w:spacing w:after="0"/>
        <w:ind w:left="0"/>
        <w:jc w:val="both"/>
      </w:pPr>
      <w:r>
        <w:rPr>
          <w:rFonts w:ascii="Times New Roman"/>
          <w:b w:val="false"/>
          <w:i w:val="false"/>
          <w:color w:val="000000"/>
          <w:sz w:val="28"/>
        </w:rPr>
        <w:t>
      61)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2"/>
    <w:bookmarkStart w:name="z88" w:id="83"/>
    <w:p>
      <w:pPr>
        <w:spacing w:after="0"/>
        <w:ind w:left="0"/>
        <w:jc w:val="both"/>
      </w:pPr>
      <w:r>
        <w:rPr>
          <w:rFonts w:ascii="Times New Roman"/>
          <w:b w:val="false"/>
          <w:i w:val="false"/>
          <w:color w:val="000000"/>
          <w:sz w:val="28"/>
        </w:rPr>
        <w:t>
      62)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3"/>
    <w:bookmarkStart w:name="z89" w:id="84"/>
    <w:p>
      <w:pPr>
        <w:spacing w:after="0"/>
        <w:ind w:left="0"/>
        <w:jc w:val="both"/>
      </w:pPr>
      <w:r>
        <w:rPr>
          <w:rFonts w:ascii="Times New Roman"/>
          <w:b w:val="false"/>
          <w:i w:val="false"/>
          <w:color w:val="000000"/>
          <w:sz w:val="28"/>
        </w:rPr>
        <w:t>
      63) понятность – информация, предоставляемая в финансовой отчетности, должна быть понятна пользователям;</w:t>
      </w:r>
    </w:p>
    <w:bookmarkEnd w:id="84"/>
    <w:bookmarkStart w:name="z90" w:id="85"/>
    <w:p>
      <w:pPr>
        <w:spacing w:after="0"/>
        <w:ind w:left="0"/>
        <w:jc w:val="both"/>
      </w:pPr>
      <w:r>
        <w:rPr>
          <w:rFonts w:ascii="Times New Roman"/>
          <w:b w:val="false"/>
          <w:i w:val="false"/>
          <w:color w:val="000000"/>
          <w:sz w:val="28"/>
        </w:rPr>
        <w:t>
      64)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85"/>
    <w:bookmarkStart w:name="z91" w:id="86"/>
    <w:p>
      <w:pPr>
        <w:spacing w:after="0"/>
        <w:ind w:left="0"/>
        <w:jc w:val="both"/>
      </w:pPr>
      <w:r>
        <w:rPr>
          <w:rFonts w:ascii="Times New Roman"/>
          <w:b w:val="false"/>
          <w:i w:val="false"/>
          <w:color w:val="000000"/>
          <w:sz w:val="28"/>
        </w:rPr>
        <w:t>
      65) функциональная валюта – валюта основной экономической среды, в которой функционирует субъект;</w:t>
      </w:r>
    </w:p>
    <w:bookmarkEnd w:id="86"/>
    <w:bookmarkStart w:name="z92" w:id="87"/>
    <w:p>
      <w:pPr>
        <w:spacing w:after="0"/>
        <w:ind w:left="0"/>
        <w:jc w:val="both"/>
      </w:pPr>
      <w:r>
        <w:rPr>
          <w:rFonts w:ascii="Times New Roman"/>
          <w:b w:val="false"/>
          <w:i w:val="false"/>
          <w:color w:val="000000"/>
          <w:sz w:val="28"/>
        </w:rPr>
        <w:t>
      66)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87"/>
    <w:bookmarkStart w:name="z93" w:id="88"/>
    <w:p>
      <w:pPr>
        <w:spacing w:after="0"/>
        <w:ind w:left="0"/>
        <w:jc w:val="both"/>
      </w:pPr>
      <w:r>
        <w:rPr>
          <w:rFonts w:ascii="Times New Roman"/>
          <w:b w:val="false"/>
          <w:i w:val="false"/>
          <w:color w:val="000000"/>
          <w:sz w:val="28"/>
        </w:rPr>
        <w:t>
      67)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88"/>
    <w:bookmarkStart w:name="z94" w:id="89"/>
    <w:p>
      <w:pPr>
        <w:spacing w:after="0"/>
        <w:ind w:left="0"/>
        <w:jc w:val="both"/>
      </w:pPr>
      <w:r>
        <w:rPr>
          <w:rFonts w:ascii="Times New Roman"/>
          <w:b w:val="false"/>
          <w:i w:val="false"/>
          <w:color w:val="000000"/>
          <w:sz w:val="28"/>
        </w:rPr>
        <w:t>
      68) иностранная валюта – валюта, отличная от функциональной валюты;</w:t>
      </w:r>
    </w:p>
    <w:bookmarkEnd w:id="89"/>
    <w:bookmarkStart w:name="z95" w:id="90"/>
    <w:p>
      <w:pPr>
        <w:spacing w:after="0"/>
        <w:ind w:left="0"/>
        <w:jc w:val="both"/>
      </w:pPr>
      <w:r>
        <w:rPr>
          <w:rFonts w:ascii="Times New Roman"/>
          <w:b w:val="false"/>
          <w:i w:val="false"/>
          <w:color w:val="000000"/>
          <w:sz w:val="28"/>
        </w:rPr>
        <w:t>
      69) операция в иностранной валюте – сделка, которая выражена или подлежит урегулированию в иностранной валюте;</w:t>
      </w:r>
    </w:p>
    <w:bookmarkEnd w:id="90"/>
    <w:bookmarkStart w:name="z96" w:id="91"/>
    <w:p>
      <w:pPr>
        <w:spacing w:after="0"/>
        <w:ind w:left="0"/>
        <w:jc w:val="both"/>
      </w:pPr>
      <w:r>
        <w:rPr>
          <w:rFonts w:ascii="Times New Roman"/>
          <w:b w:val="false"/>
          <w:i w:val="false"/>
          <w:color w:val="000000"/>
          <w:sz w:val="28"/>
        </w:rPr>
        <w:t>
      70)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1"/>
    <w:bookmarkStart w:name="z97" w:id="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92"/>
    <w:bookmarkStart w:name="z98" w:id="93"/>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при ведении бухгалтерского учета посредством информационной системы все страницы (листы) книг учета автоматически нумеруются.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bookmarkEnd w:id="93"/>
    <w:bookmarkStart w:name="z99" w:id="94"/>
    <w:p>
      <w:pPr>
        <w:spacing w:after="0"/>
        <w:ind w:left="0"/>
        <w:jc w:val="both"/>
      </w:pPr>
      <w:r>
        <w:rPr>
          <w:rFonts w:ascii="Times New Roman"/>
          <w:b w:val="false"/>
          <w:i w:val="false"/>
          <w:color w:val="000000"/>
          <w:sz w:val="28"/>
        </w:rPr>
        <w:t xml:space="preserve">
      в абзац первый части первой </w:t>
      </w:r>
      <w:r>
        <w:rPr>
          <w:rFonts w:ascii="Times New Roman"/>
          <w:b w:val="false"/>
          <w:i w:val="false"/>
          <w:color w:val="000000"/>
          <w:sz w:val="28"/>
        </w:rPr>
        <w:t>пункта 25</w:t>
      </w:r>
      <w:r>
        <w:rPr>
          <w:rFonts w:ascii="Times New Roman"/>
          <w:b w:val="false"/>
          <w:i w:val="false"/>
          <w:color w:val="000000"/>
          <w:sz w:val="28"/>
        </w:rPr>
        <w:t xml:space="preserve"> вносится изменение на государственном языке, текст на русском языке не изменяется;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01" w:id="95"/>
    <w:p>
      <w:pPr>
        <w:spacing w:after="0"/>
        <w:ind w:left="0"/>
        <w:jc w:val="both"/>
      </w:pPr>
      <w:r>
        <w:rPr>
          <w:rFonts w:ascii="Times New Roman"/>
          <w:b w:val="false"/>
          <w:i w:val="false"/>
          <w:color w:val="000000"/>
          <w:sz w:val="28"/>
        </w:rPr>
        <w:t>
      "33.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95"/>
    <w:bookmarkStart w:name="z102" w:id="9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96"/>
    <w:bookmarkStart w:name="z103" w:id="97"/>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использованию средств.";</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05" w:id="98"/>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98"/>
    <w:bookmarkStart w:name="z106" w:id="99"/>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bookmarkEnd w:id="99"/>
    <w:bookmarkStart w:name="z107" w:id="100"/>
    <w:p>
      <w:pPr>
        <w:spacing w:after="0"/>
        <w:ind w:left="0"/>
        <w:jc w:val="both"/>
      </w:pPr>
      <w:r>
        <w:rPr>
          <w:rFonts w:ascii="Times New Roman"/>
          <w:b w:val="false"/>
          <w:i w:val="false"/>
          <w:color w:val="000000"/>
          <w:sz w:val="28"/>
        </w:rPr>
        <w:t>
      по себестоимости;</w:t>
      </w:r>
    </w:p>
    <w:bookmarkEnd w:id="100"/>
    <w:bookmarkStart w:name="z108" w:id="101"/>
    <w:p>
      <w:pPr>
        <w:spacing w:after="0"/>
        <w:ind w:left="0"/>
        <w:jc w:val="both"/>
      </w:pPr>
      <w:r>
        <w:rPr>
          <w:rFonts w:ascii="Times New Roman"/>
          <w:b w:val="false"/>
          <w:i w:val="false"/>
          <w:color w:val="000000"/>
          <w:sz w:val="28"/>
        </w:rPr>
        <w:t>
      долевого участия;</w:t>
      </w:r>
    </w:p>
    <w:bookmarkEnd w:id="101"/>
    <w:bookmarkStart w:name="z109" w:id="102"/>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bookmarkEnd w:id="102"/>
    <w:bookmarkStart w:name="z110" w:id="103"/>
    <w:p>
      <w:pPr>
        <w:spacing w:after="0"/>
        <w:ind w:left="0"/>
        <w:jc w:val="both"/>
      </w:pPr>
      <w:r>
        <w:rPr>
          <w:rFonts w:ascii="Times New Roman"/>
          <w:b w:val="false"/>
          <w:i w:val="false"/>
          <w:color w:val="000000"/>
          <w:sz w:val="28"/>
        </w:rPr>
        <w:t>
      долевого участия;</w:t>
      </w:r>
    </w:p>
    <w:bookmarkEnd w:id="103"/>
    <w:bookmarkStart w:name="z111" w:id="104"/>
    <w:p>
      <w:pPr>
        <w:spacing w:after="0"/>
        <w:ind w:left="0"/>
        <w:jc w:val="both"/>
      </w:pPr>
      <w:r>
        <w:rPr>
          <w:rFonts w:ascii="Times New Roman"/>
          <w:b w:val="false"/>
          <w:i w:val="false"/>
          <w:color w:val="000000"/>
          <w:sz w:val="28"/>
        </w:rPr>
        <w:t>
      прочие финансовые инвестиции:</w:t>
      </w:r>
    </w:p>
    <w:bookmarkEnd w:id="104"/>
    <w:bookmarkStart w:name="z112" w:id="105"/>
    <w:p>
      <w:pPr>
        <w:spacing w:after="0"/>
        <w:ind w:left="0"/>
        <w:jc w:val="both"/>
      </w:pPr>
      <w:r>
        <w:rPr>
          <w:rFonts w:ascii="Times New Roman"/>
          <w:b w:val="false"/>
          <w:i w:val="false"/>
          <w:color w:val="000000"/>
          <w:sz w:val="28"/>
        </w:rPr>
        <w:t>
      по себестоимости;</w:t>
      </w:r>
    </w:p>
    <w:bookmarkEnd w:id="105"/>
    <w:bookmarkStart w:name="z113" w:id="106"/>
    <w:p>
      <w:pPr>
        <w:spacing w:after="0"/>
        <w:ind w:left="0"/>
        <w:jc w:val="both"/>
      </w:pPr>
      <w:r>
        <w:rPr>
          <w:rFonts w:ascii="Times New Roman"/>
          <w:b w:val="false"/>
          <w:i w:val="false"/>
          <w:color w:val="000000"/>
          <w:sz w:val="28"/>
        </w:rPr>
        <w:t>
      по справедливой стоимости;</w:t>
      </w:r>
    </w:p>
    <w:bookmarkEnd w:id="106"/>
    <w:bookmarkStart w:name="z114" w:id="107"/>
    <w:p>
      <w:pPr>
        <w:spacing w:after="0"/>
        <w:ind w:left="0"/>
        <w:jc w:val="both"/>
      </w:pPr>
      <w:r>
        <w:rPr>
          <w:rFonts w:ascii="Times New Roman"/>
          <w:b w:val="false"/>
          <w:i w:val="false"/>
          <w:color w:val="000000"/>
          <w:sz w:val="28"/>
        </w:rPr>
        <w:t>
      по амортизированной стоимости.";</w:t>
      </w:r>
    </w:p>
    <w:bookmarkEnd w:id="107"/>
    <w:bookmarkStart w:name="z115" w:id="10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88-1</w:t>
      </w:r>
      <w:r>
        <w:rPr>
          <w:rFonts w:ascii="Times New Roman"/>
          <w:b w:val="false"/>
          <w:i w:val="false"/>
          <w:color w:val="000000"/>
          <w:sz w:val="28"/>
        </w:rPr>
        <w:t xml:space="preserve"> изложить в следующей редакции:</w:t>
      </w:r>
    </w:p>
    <w:bookmarkEnd w:id="108"/>
    <w:bookmarkStart w:name="z116" w:id="109"/>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производятся записи.";</w:t>
      </w:r>
    </w:p>
    <w:bookmarkEnd w:id="109"/>
    <w:bookmarkStart w:name="z117" w:id="1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110"/>
    <w:bookmarkStart w:name="z118" w:id="111"/>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111"/>
    <w:bookmarkStart w:name="z119" w:id="112"/>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112"/>
    <w:bookmarkStart w:name="z120" w:id="113"/>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113"/>
    <w:bookmarkStart w:name="z121" w:id="114"/>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114"/>
    <w:bookmarkStart w:name="z122" w:id="115"/>
    <w:p>
      <w:pPr>
        <w:spacing w:after="0"/>
        <w:ind w:left="0"/>
        <w:jc w:val="both"/>
      </w:pPr>
      <w:r>
        <w:rPr>
          <w:rFonts w:ascii="Times New Roman"/>
          <w:b w:val="false"/>
          <w:i w:val="false"/>
          <w:color w:val="000000"/>
          <w:sz w:val="28"/>
        </w:rPr>
        <w:t>
      дополнить пунктами 90-1, 90-2, 90-3, 90-4, 90-5, 90-6, 90-7, 90-8, 90-9, 90-10 и 90-11 следующего содержания:</w:t>
      </w:r>
    </w:p>
    <w:bookmarkEnd w:id="115"/>
    <w:bookmarkStart w:name="z123" w:id="116"/>
    <w:p>
      <w:pPr>
        <w:spacing w:after="0"/>
        <w:ind w:left="0"/>
        <w:jc w:val="both"/>
      </w:pPr>
      <w:r>
        <w:rPr>
          <w:rFonts w:ascii="Times New Roman"/>
          <w:b w:val="false"/>
          <w:i w:val="false"/>
          <w:color w:val="000000"/>
          <w:sz w:val="28"/>
        </w:rPr>
        <w:t>
      "90-1. Если государственное учреждение имеет количественную долю владения и владеет прямо или косвенно 20 (двадцатью) или более процентами голосов в объекте бюджетных инвестиций, то государство имеет значительное влияние в результате инвестиций, осуществленных посредством участия государства в уставном капитале организации (юридического лица).</w:t>
      </w:r>
    </w:p>
    <w:bookmarkEnd w:id="116"/>
    <w:bookmarkStart w:name="z124" w:id="117"/>
    <w:p>
      <w:pPr>
        <w:spacing w:after="0"/>
        <w:ind w:left="0"/>
        <w:jc w:val="both"/>
      </w:pPr>
      <w:r>
        <w:rPr>
          <w:rFonts w:ascii="Times New Roman"/>
          <w:b w:val="false"/>
          <w:i w:val="false"/>
          <w:color w:val="000000"/>
          <w:sz w:val="28"/>
        </w:rPr>
        <w:t>
      90-2. Наличие значительного влияния организации подтверждается одним или несколькими из перечисленных ниже признаков:</w:t>
      </w:r>
    </w:p>
    <w:bookmarkEnd w:id="117"/>
    <w:bookmarkStart w:name="z125" w:id="118"/>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118"/>
    <w:bookmarkStart w:name="z126" w:id="119"/>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119"/>
    <w:bookmarkStart w:name="z127" w:id="120"/>
    <w:p>
      <w:pPr>
        <w:spacing w:after="0"/>
        <w:ind w:left="0"/>
        <w:jc w:val="both"/>
      </w:pPr>
      <w:r>
        <w:rPr>
          <w:rFonts w:ascii="Times New Roman"/>
          <w:b w:val="false"/>
          <w:i w:val="false"/>
          <w:color w:val="000000"/>
          <w:sz w:val="28"/>
        </w:rPr>
        <w:t>
      3) операции между инвестором и объектом инвестиций;</w:t>
      </w:r>
    </w:p>
    <w:bookmarkEnd w:id="120"/>
    <w:bookmarkStart w:name="z128" w:id="121"/>
    <w:p>
      <w:pPr>
        <w:spacing w:after="0"/>
        <w:ind w:left="0"/>
        <w:jc w:val="both"/>
      </w:pPr>
      <w:r>
        <w:rPr>
          <w:rFonts w:ascii="Times New Roman"/>
          <w:b w:val="false"/>
          <w:i w:val="false"/>
          <w:color w:val="000000"/>
          <w:sz w:val="28"/>
        </w:rPr>
        <w:t>
      4) обмен управленческим персоналом; или</w:t>
      </w:r>
    </w:p>
    <w:bookmarkEnd w:id="121"/>
    <w:bookmarkStart w:name="z129" w:id="122"/>
    <w:p>
      <w:pPr>
        <w:spacing w:after="0"/>
        <w:ind w:left="0"/>
        <w:jc w:val="both"/>
      </w:pPr>
      <w:r>
        <w:rPr>
          <w:rFonts w:ascii="Times New Roman"/>
          <w:b w:val="false"/>
          <w:i w:val="false"/>
          <w:color w:val="000000"/>
          <w:sz w:val="28"/>
        </w:rPr>
        <w:t>
      5) предоставление технической информации.</w:t>
      </w:r>
    </w:p>
    <w:bookmarkEnd w:id="122"/>
    <w:bookmarkStart w:name="z130" w:id="123"/>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123"/>
    <w:bookmarkStart w:name="z131" w:id="124"/>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организация продолжает использовать метод долевого участия и не производит переоценку оставшейся доли.</w:t>
      </w:r>
    </w:p>
    <w:bookmarkEnd w:id="124"/>
    <w:bookmarkStart w:name="z132" w:id="125"/>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организация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125"/>
    <w:bookmarkStart w:name="z133" w:id="126"/>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организации в чистой справедливой стоимости идентифицируемых активов и обязательств объекта инвестиций учитывается следующим образом:</w:t>
      </w:r>
    </w:p>
    <w:bookmarkEnd w:id="126"/>
    <w:bookmarkStart w:name="z134" w:id="127"/>
    <w:p>
      <w:pPr>
        <w:spacing w:after="0"/>
        <w:ind w:left="0"/>
        <w:jc w:val="both"/>
      </w:pPr>
      <w:r>
        <w:rPr>
          <w:rFonts w:ascii="Times New Roman"/>
          <w:b w:val="false"/>
          <w:i w:val="false"/>
          <w:color w:val="000000"/>
          <w:sz w:val="28"/>
        </w:rPr>
        <w:t>
      1) если организация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127"/>
    <w:bookmarkStart w:name="z135" w:id="128"/>
    <w:p>
      <w:pPr>
        <w:spacing w:after="0"/>
        <w:ind w:left="0"/>
        <w:jc w:val="both"/>
      </w:pPr>
      <w:r>
        <w:rPr>
          <w:rFonts w:ascii="Times New Roman"/>
          <w:b w:val="false"/>
          <w:i w:val="false"/>
          <w:color w:val="000000"/>
          <w:sz w:val="28"/>
        </w:rPr>
        <w:t>
      2) превышение доли организации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128"/>
    <w:bookmarkStart w:name="z136" w:id="129"/>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129"/>
    <w:bookmarkStart w:name="z137" w:id="130"/>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организации и ассоциированной организации или совместного предприятия различаются, организация или:</w:t>
      </w:r>
    </w:p>
    <w:bookmarkEnd w:id="130"/>
    <w:bookmarkStart w:name="z138" w:id="131"/>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организации; или</w:t>
      </w:r>
    </w:p>
    <w:bookmarkEnd w:id="131"/>
    <w:bookmarkStart w:name="z139" w:id="132"/>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организации.</w:t>
      </w:r>
    </w:p>
    <w:bookmarkEnd w:id="132"/>
    <w:bookmarkStart w:name="z140" w:id="133"/>
    <w:p>
      <w:pPr>
        <w:spacing w:after="0"/>
        <w:ind w:left="0"/>
        <w:jc w:val="both"/>
      </w:pPr>
      <w:r>
        <w:rPr>
          <w:rFonts w:ascii="Times New Roman"/>
          <w:b w:val="false"/>
          <w:i w:val="false"/>
          <w:color w:val="000000"/>
          <w:sz w:val="28"/>
        </w:rPr>
        <w:t>
      Финансовая отчетность организации подготовлена с использованием единой учетной политики для аналогичных операций и событий в сходных обстоятельствах.</w:t>
      </w:r>
    </w:p>
    <w:bookmarkEnd w:id="133"/>
    <w:bookmarkStart w:name="z141" w:id="134"/>
    <w:p>
      <w:pPr>
        <w:spacing w:after="0"/>
        <w:ind w:left="0"/>
        <w:jc w:val="both"/>
      </w:pPr>
      <w:r>
        <w:rPr>
          <w:rFonts w:ascii="Times New Roman"/>
          <w:b w:val="false"/>
          <w:i w:val="false"/>
          <w:color w:val="000000"/>
          <w:sz w:val="28"/>
        </w:rPr>
        <w:t>
      90-7. Если ассоциированная организация или совместное предприятие применяют учетную политику, отличную от учетной политики государственного учреждения в отношении аналогичных операций и событий, имевших место при сходных обстоятельствах, необходимо произвести корректировки с целью приведения учетной политики ассоциированной организации или совместного предприятия в соответствие с учетной политикой государственного учреждения, если финансовая отчетность ассоциированной организации или совместного предприятия используется государственным учреждением, при применении метода долевого участия. Если инвестор имеет долю в ассоциированной организации или совместном предприятии, которое является инвестиционной организацией, инвестор при применении метода долевого участия сохраняет оценку справедливой стоимости, применяемую ассоциированной организацией или совместным предприятием этой инвестиционной организации к их доле в контролируемых организациях.</w:t>
      </w:r>
    </w:p>
    <w:bookmarkEnd w:id="134"/>
    <w:bookmarkStart w:name="z142" w:id="135"/>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организации в ассоциированную организацию или совместное предприятие.</w:t>
      </w:r>
    </w:p>
    <w:bookmarkEnd w:id="135"/>
    <w:bookmarkStart w:name="z143" w:id="136"/>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еҰ чистых инвестиций в ассоциированную организацию или совместное предприятие.</w:t>
      </w:r>
    </w:p>
    <w:bookmarkEnd w:id="136"/>
    <w:bookmarkStart w:name="z144" w:id="137"/>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организации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137"/>
    <w:bookmarkStart w:name="z145" w:id="138"/>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138"/>
    <w:bookmarkStart w:name="z146" w:id="139"/>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организация оценивает:</w:t>
      </w:r>
    </w:p>
    <w:bookmarkEnd w:id="139"/>
    <w:bookmarkStart w:name="z147" w:id="140"/>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140"/>
    <w:bookmarkStart w:name="z148" w:id="141"/>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141"/>
    <w:bookmarkStart w:name="z149" w:id="142"/>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142"/>
    <w:bookmarkStart w:name="z150" w:id="143"/>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143"/>
    <w:bookmarkStart w:name="z151" w:id="144"/>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организации.</w:t>
      </w:r>
    </w:p>
    <w:bookmarkEnd w:id="144"/>
    <w:bookmarkStart w:name="z152" w:id="145"/>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балансодержателя.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154" w:id="146"/>
    <w:p>
      <w:pPr>
        <w:spacing w:after="0"/>
        <w:ind w:left="0"/>
        <w:jc w:val="both"/>
      </w:pPr>
      <w:r>
        <w:rPr>
          <w:rFonts w:ascii="Times New Roman"/>
          <w:b w:val="false"/>
          <w:i w:val="false"/>
          <w:color w:val="000000"/>
          <w:sz w:val="28"/>
        </w:rPr>
        <w:t>
      "221. При выдаче со склада спецодежды и других предметов индивидуального пользования осуществляется бухгалтерская запись: дебет счета 7060 "Расходы по запасам" и кредит соответствующего субсчета счета подраздела "Запасы" Плана счетов. Запасы списываются по истечении установленного срока на основании акта о списании постоянно действующей комиссии государственного учреждения.";</w:t>
      </w:r>
    </w:p>
    <w:bookmarkEnd w:id="146"/>
    <w:bookmarkStart w:name="z155" w:id="14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p>
    <w:bookmarkEnd w:id="147"/>
    <w:bookmarkStart w:name="z156" w:id="148"/>
    <w:p>
      <w:pPr>
        <w:spacing w:after="0"/>
        <w:ind w:left="0"/>
        <w:jc w:val="both"/>
      </w:pPr>
      <w:r>
        <w:rPr>
          <w:rFonts w:ascii="Times New Roman"/>
          <w:b w:val="false"/>
          <w:i w:val="false"/>
          <w:color w:val="000000"/>
          <w:sz w:val="28"/>
        </w:rPr>
        <w:t>
      "Перечень инвентарных номеров формируется посредством информационной системы бухгалтерского учреждения, используемой государственным учреждением. Когда инвентарный объект является сложным, то есть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Инвентарный номер обозначается на жетоне, который прикрепляется к объекту, или краской на объекте или иным способом.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присваиваются другим объектам.";</w:t>
      </w:r>
    </w:p>
    <w:bookmarkEnd w:id="148"/>
    <w:bookmarkStart w:name="z157" w:id="1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149"/>
    <w:bookmarkStart w:name="z158" w:id="150"/>
    <w:p>
      <w:pPr>
        <w:spacing w:after="0"/>
        <w:ind w:left="0"/>
        <w:jc w:val="both"/>
      </w:pPr>
      <w:r>
        <w:rPr>
          <w:rFonts w:ascii="Times New Roman"/>
          <w:b w:val="false"/>
          <w:i w:val="false"/>
          <w:color w:val="000000"/>
          <w:sz w:val="28"/>
        </w:rPr>
        <w:t>
      "Инвентарные карточки формируются в информационной системе бухгалтерского учета государственного учреждения по соответствующим субсчетам и группам с подразделением внутри их по материально-ответственным лицам, а в централизованных бухгалтериях– дополнительно и по обслуживаемым государственным учреждениям.";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60" w:id="151"/>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51"/>
    <w:bookmarkStart w:name="z161" w:id="1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2"/>
    <w:bookmarkStart w:name="z162" w:id="1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3"/>
    <w:bookmarkStart w:name="z163" w:id="1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4"/>
    <w:bookmarkStart w:name="z164" w:id="15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2023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bookmarkStart w:name="z168" w:id="156"/>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Сооружения (водокачки, стадионы, бассейны, дороги, мосты, памятники, ограждения парков, скверов и общественных садов, буровые скважины, штольни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