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dfd7" w14:textId="e3ed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культуры и спорта Республики Казахстан от 11 мая 2023 года № 124 и Министра национальной экономики Республики Казахстан от 12 мая 2023 года № 62. Зарегистрирован в Министерстве юстиции Республики Казахстан 15 мая 2023 года № 32492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 (зарегистрирован в Реестре государственной регистрации нормативных правовых актов под № 14313)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законодательства Республики Казахстан об игорном бизнесе, согласно приложению 1 к указанному совместному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балл – количественная мера исчисления риска;";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нормализация данных – статистическая процедура, предусматривающая приведение значений, измеренных в различных шкалах, к условно общей шкале;";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квалификационным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 и (или) проверок на соответствие квалификационным требованиям;";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целей управления рисками при осуществлении проверки на соответствие квалификационным требованиям и (или) профилактического контроля с посещением субъекта (объекта) контроля, критерии оценки степени риска для проведения проверки на соответствие квалификационным требованиям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субъекты (объекты) контроля по объективным критериям относят к одной из следующих степеней риска: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степени риска по объективным критериям, проводятся проверка на соответствие квалификационным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 по объективным критериям, проводятся проверка на соответствие квалификационным требованиям, профилактический контроль без посещения субъекта (объекта) контроля и внеплановая проверка.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субъекты (объекты) контроля по субъективным критериям относятся к одной из следующих степеней риска: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расчета степени риска по субъективным критериям";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Правил, рассчитывается показатель степени риска по субъективным критериям по шкале от 0 до 100 баллов.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об игорном бизнесе.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отбора субъектов предпринимательства при проведении профилактического контроля с посещением используются следующие источники информации: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отбора субъектов предпринимательства при проведении проверок на соответствие квалификационным требованиям источниками информации являются: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на соответствие квалификационным требованиям.";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отнесения субъекта контроля к степени риска в соответствии с пунктом 8 настоящих Критериев применяется следующий порядок расчета показателя степени риска.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13 настоящих Критериев.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8 настоящих Критериев (SC), с последующей нормализацией значений данных в диапазон от 0 до 100 баллов.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8 настоящих Критериев.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и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13 настоящих Критериев,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 или профилактический контроль с посещением субъекта (объекта) контроля.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 следующего содержания: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Расчет показателя степени риска по субъективным критериям, определенным в соответствии с пунктом 8 настоящих Критериев, производится по шкале от 0 до 100 баллов и осуществляется по следующей формуле: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8 настоящих Критериев, включается в расчет показателя степени риска по субъективным критериям.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 следующего содержания: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16 настоящих Критериев.";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казино, согласно приложению 2 к указанному совместному приказу: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86"/>
    <w:p>
      <w:pPr>
        <w:spacing w:after="0"/>
        <w:ind w:left="0"/>
        <w:jc w:val="both"/>
      </w:pPr>
      <w:bookmarkStart w:name="z99" w:id="87"/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орган, назначивший проверку/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______________________________________________";</w:t>
      </w:r>
    </w:p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залов игровых автоматов, согласно приложению 3 к указанному совместному приказу: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89"/>
    <w:p>
      <w:pPr>
        <w:spacing w:after="0"/>
        <w:ind w:left="0"/>
        <w:jc w:val="both"/>
      </w:pPr>
      <w:bookmarkStart w:name="z102" w:id="90"/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орган, назначивший проверку/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______________________________________________";</w:t>
      </w:r>
    </w:p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букмекерских контор, согласно приложению 4 к указанному совместному приказу: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2"/>
    <w:p>
      <w:pPr>
        <w:spacing w:after="0"/>
        <w:ind w:left="0"/>
        <w:jc w:val="both"/>
      </w:pPr>
      <w:bookmarkStart w:name="z105" w:id="93"/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орган, назначивший проверку/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_______________________________________________";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тотализаторов, согласно приложению 5 к указанному совместному приказу: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5"/>
    <w:p>
      <w:pPr>
        <w:spacing w:after="0"/>
        <w:ind w:left="0"/>
        <w:jc w:val="both"/>
      </w:pPr>
      <w:bookmarkStart w:name="z108" w:id="96"/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орган, назначивший проверку/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_____________________________________________".</w:t>
      </w:r>
    </w:p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порядке обеспечить: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совместного приказа размещение его на интернет-ресурсе Министерства культуры и спорта Республики Казахстан;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7" w:id="10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12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</w:t>
      </w:r>
      <w:r>
        <w:br/>
      </w:r>
      <w:r>
        <w:rPr>
          <w:rFonts w:ascii="Times New Roman"/>
          <w:b/>
          <w:i w:val="false"/>
          <w:color w:val="000000"/>
        </w:rPr>
        <w:t>игорного бизнеса, осуществляющих деятельность казино и залов игровых автоматов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профилактического контроля с посещением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и игровые места игорных заведений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казино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установленном проценте выигрыша, технологически заложенного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одном казино не менее тридцати игровых столов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установленного процента выигрыша, технологически заложенного в игровой автомат, не ниже девяноста пяти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залов игровых автоматов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игорного оборудования, игровых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установленном проценте выигрыша, технологически заложенном в игровой 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сведений об изменении количества игровых столов, замены оборудования указанного при получении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сведений о списке касс и численности работников; 6)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установке в зале игровых автоматов не менее шестидесяти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 запрете монтажа игровых автоматов или их частей в стены, оконные и дверные проемы в залах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касательно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14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</w:t>
      </w:r>
      <w:r>
        <w:br/>
      </w:r>
      <w:r>
        <w:rPr>
          <w:rFonts w:ascii="Times New Roman"/>
          <w:b/>
          <w:i w:val="false"/>
          <w:color w:val="000000"/>
        </w:rPr>
        <w:t>игорного бизнеса, осуществляющих деятельность казино и залов игровых автоматов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проверок на соответствие квалификационным требованиям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установленном проценте выигрыша, технологически заложенном в игровой автомат (процент выигрыша, технологически заложенный в игровой автомат, должен быть не ниже девяноста пяти процентов)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 указанного при получении лицензии (в одном казино должно быть установлено не менее тридцати игровых столов)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 указанного при получении лицензии (в одном зале игровых автоматов должно быть установлено не менее шестидесяти игровых автоматов)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казино (размер обязательного резерва 60000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залов игровых автоматов (размер обязательного резерва 60000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организаторами игорного бизнеса справки уполномоченному органу о наличии и движении денег по банковским счетам, открытым при заключении договора банковского вклада, не реже одного раза в три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казино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в гостиничном комплексе категории не ниже трех звезд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казино в размере 60000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иные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залов игровых автоматов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или ином законном основании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игорного оборудования на праве собственности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образцов и номинаций, применяемых легитимационных знаков на казахском и русском языках для осуществления деятельности зала игровых автоматов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зала игровых автоматов в размере 60000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игорного заведения, приема ставок и проводимых азартных игр на казахском и русском языках, размещенных на видном месте в игорном заведении,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игорного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азартными играми;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азартных играх;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азартной игры,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азартных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основные термины и определения, непосредственно используемые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права и обязанности организатора игорного бизнеса и участника азартной игры;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условия участия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порядок проведения азартной игры,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условия приема ставок в азартной игре;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результат, при наступлении которого участнику азартной игры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иные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17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</w:t>
      </w:r>
      <w:r>
        <w:br/>
      </w:r>
      <w:r>
        <w:rPr>
          <w:rFonts w:ascii="Times New Roman"/>
          <w:b/>
          <w:i w:val="false"/>
          <w:color w:val="000000"/>
        </w:rPr>
        <w:t>игорного бизнеса, осуществляющих деятельность букмекерских контор</w:t>
      </w:r>
      <w:r>
        <w:br/>
      </w:r>
      <w:r>
        <w:rPr>
          <w:rFonts w:ascii="Times New Roman"/>
          <w:b/>
          <w:i w:val="false"/>
          <w:color w:val="000000"/>
        </w:rPr>
        <w:t>и тотализаторов для проведения профилактического контроля с посещением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букмекерских контор и тотализаторов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пари)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букмекерских контор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букмекерских контор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букмекерских контор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букмекерской конторы или информации о принятых ставках, выплаченных и невыплаченных выигрышах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букмекерских контор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букмекерских контор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букмекерской конторы,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оборудованию аппаратно-программным комплексом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приему ставок на основании коэффициентов, рассчитанных аппаратно-программным комплексом, и только на предстоящие реальные события, происходящие в рамках спортивных соревнований, проводимых аккредитованными спортивными федерациями или под эгидой международных спортивных организаций, федераций, комитетов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обязанности организатором игорного бизнеса, осуществляющим деятельность букмекерской конторы,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букмекерской конторы,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букмекерской конторы по обеспечению взаимодействия аппаратно-программного комплекса с кассами букмекерских контор,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тотализаторов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организацию и проведение пари на события, генерируемые программным обеспечением и (или) путем использования оборудования (механического, электрического, электронного или иного технического оборудования) и (или) любой визуализации события, кроме его непосредственной трансляции;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о представлении в отчетных данных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сведений о техническом состоянии видеозаписывающих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сведений о списке касс и численности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 налога от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расположению касс тотализаторов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размещение вне касс тотализаторов оборудования, позволяющего участникам пари наблюдать развитие и исход события, на результат которого ими были сделаны ставки, а также предоставлять участникам пари технические средства, включая услуги связи, для доступа к электронным кассам тотализатора или информации о принятых ставках, выплаченных и невыплаченных выигрышах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оборудованию касс тотализаторов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оснащению касс тотализаторов металлической дверью, бронированным стеклом и тревожной сигнализацией, подключенной к централизованному пульту частной охранной организации или дежурной части территориального органа внутренних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приему ставок на предстоящие реальные события, происходящие в рамках конно-спортивных соревнований (конных скачек, бегов) и (или) собачьих бегов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физическому лицу не присвоен индивидуальный идентификационный номер),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тотализатора, по оборудованию аппаратно-программным комплексом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организатором игорного бизнеса, осуществляющим деятельность тотализатора, обязанности до принятия ставки произвести регистрацию участника пари посредством аппаратно-программного комплекса с внесением данных, позволяющих установить личность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по месту нахождения организатора игорного бизнеса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организатором игорного бизнеса, осуществляющим деятельность тотализатора,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организаторами игорного бизнеса, осуществляющими деятельность тотализатора по обеспечению взаимодействия аппаратно-программного комплекса с кассами тотализаторов, по осуществлению сбора и предоставления информации, позволяющей уполномоченному органу осуществлять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физических лиц в возрасте до двадцати одного года, а также лиц, ограниченных в участии в азартных играх и (или) пари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19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субъектам (объектам) контроля в сфере</w:t>
      </w:r>
      <w:r>
        <w:br/>
      </w:r>
      <w:r>
        <w:rPr>
          <w:rFonts w:ascii="Times New Roman"/>
          <w:b/>
          <w:i w:val="false"/>
          <w:color w:val="000000"/>
        </w:rPr>
        <w:t>игорного бизнеса, осуществляющих деятельность букмекерских контор</w:t>
      </w:r>
      <w:r>
        <w:br/>
      </w:r>
      <w:r>
        <w:rPr>
          <w:rFonts w:ascii="Times New Roman"/>
          <w:b/>
          <w:i w:val="false"/>
          <w:color w:val="000000"/>
        </w:rPr>
        <w:t>и тотализаторов для проведения проверок на соответствие квалификационным требованиям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букмекерских контор (размер обязательного резерва 40000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тотализаторов (размер обязательного резерва 10000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движении денег по банковским счетам, открытым при заключении договора банковского вклада для осуществления деятельности букмекерских контор (размер обязательного резерва 40000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движении денег по банковским счетам, открытым при заключении договора банковского вклада для осуществления деятельности тотализатора (размер обязательного резерва 10000 месячных расчетных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организаторами игорного бизнеса справки уполномоченному органу о наличии и движении денег по банковским счетам, открытым при заключении договора банковского вклада, не реже одного раза в три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букмекерских контор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букмекерской конторы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букмекерских контор в размере 40000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букмекерской конторы, приема ставок и проводимых пари на казахском и русском языках, размещенных на видном месте в кассе букмекерской конторы,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букмекерской конторы;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иные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субъектов, осуществляющих деятельность тотализаторов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здания (части здания, строения, сооружения) на праве собственности для осуществления деятельности тотализатора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разрешительного документа в сфере санитарно-эпидемиологического благополучия населения (для объектов высокой эпидемической значимости - получение санитарно-эпидемиологического заключения, для объектов незначительной эпидемической значимости - уведомление о начале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организации и проведения пари на праве собственности для осуществления деятельности тотализатора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с юридическими лицами, получившими лицензию на осуществление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организаторами игорного бизнеса требований к обязательным резервам, для осуществления деятельности тотализаторов в размере 10000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разработанных правил работы тотализатора, приема ставок и проводимых пари на казахском и русском языках, размещенных на видном месте в кассе тотализатора, а также на интернет-ресурсе организатора игорного бизнеса (при наличии такового), которые должны содержать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тотализатора;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организатора игорного бизнеса с указанием его места нахождения, банковских реквизитов, идентификационного номера, интернет-ресурса (при наличии такового);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информацию о лицензии на право занятия деятельностью в сфере игорного бизнеса в Республике Казахстан, сроке ее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предупреждение о вреде чрезмерного увлечения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самостоятельного ограничения в участии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место нахождения и контактные номера телефонов специалистов (учреждений, организаций, служб), оказывающих психологическую помощь участникам пари, а также их близким родственникам;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установления личности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виды проводимых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перечень источников информации, используемых для определения результатов исхода события, на которое участники пари делают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основные термины и определения, непосредственно используемые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права и обязанности организатора игорного бизнеса и участника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условия участия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порядок проведения пари, а также игровой сессии;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условия приема ставок в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размер вознаграждения (комиссии) организатора игорного бизнеса, осуществляющего деятельность тотализатора, за посредничество в организации пари;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результат, при наступлении которого участнику пари подлежит выплате выигрыш;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порядок рассмотрения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иные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23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</w:t>
      </w:r>
      <w:r>
        <w:br/>
      </w:r>
      <w:r>
        <w:rPr>
          <w:rFonts w:ascii="Times New Roman"/>
          <w:b/>
          <w:i w:val="false"/>
          <w:color w:val="000000"/>
        </w:rPr>
        <w:t>по субъективным критериям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для организаторов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казино и залов игровых автоматов</w:t>
      </w:r>
    </w:p>
    <w:bookmarkEnd w:id="108"/>
    <w:bookmarkStart w:name="z2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и игровые места игорных заведений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проверки на соответствие квалификационным и разрешительным требованиям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установленном проценте выигрыша, технологически заложенном в игровой автомат (процент выигрыша, технологически заложенный в игровой автомат, должен быть не ниже девяноста пяти процентов)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 указанного при получении лицензии (в одном казино должно быть установлено не менее тридцати игровых столов)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об изменении количества игровых столов, замены оборудования указанного при получении лицензии (в одном зале игровых автоматов должно быть установлено не менее шестидесяти игровых автоматов)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24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</w:t>
      </w:r>
      <w:r>
        <w:br/>
      </w:r>
      <w:r>
        <w:rPr>
          <w:rFonts w:ascii="Times New Roman"/>
          <w:b/>
          <w:i w:val="false"/>
          <w:color w:val="000000"/>
        </w:rPr>
        <w:t>по субъективным критериям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игорном бизнесе для организаторов игорного бизнеса,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букмекерских контор и тотализаторов</w:t>
      </w:r>
    </w:p>
    <w:bookmarkEnd w:id="110"/>
    <w:bookmarkStart w:name="z2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форме, представленной отчетности организатора игорного бизнеса, сведений о техническом состоянии видеозаписывающих систем (кассы букмекерских контор и тотализаторов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пари)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проверки на соответствие квалификационным и разрешительным требованиям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