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7945" w14:textId="23f79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сельского хозяйства Республики Казахстан от 19 декабря 2014 года № 18-04/675 "Об утверждении Правил выдачи разрешений на пользование животным миром"</w:t>
      </w:r>
    </w:p>
    <w:p>
      <w:pPr>
        <w:spacing w:after="0"/>
        <w:ind w:left="0"/>
        <w:jc w:val="both"/>
      </w:pPr>
      <w:r>
        <w:rPr>
          <w:rFonts w:ascii="Times New Roman"/>
          <w:b w:val="false"/>
          <w:i w:val="false"/>
          <w:color w:val="000000"/>
          <w:sz w:val="28"/>
        </w:rPr>
        <w:t>Приказ Министра экологии и природных ресурсов Республики Казахстан от 11 мая 2023 года № 142. Зарегистрирован в Министерстве юстиции Республики Казахстан 16 мая 2023 года № 32497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Порядок введения в действие см. п.</w:t>
      </w:r>
      <w:r>
        <w:rPr>
          <w:rFonts w:ascii="Times New Roman"/>
          <w:b w:val="false"/>
          <w:i w:val="false"/>
          <w:color w:val="ff0000"/>
          <w:sz w:val="28"/>
        </w:rPr>
        <w:t>4</w:t>
      </w:r>
    </w:p>
    <w:bookmarkStart w:name="z65"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и.о. Министра сельского хозяйства Республики Казахстан от 19 декабря 2014 года № 18-04/675 "Об утверждении Правил выдачи разрешений на пользование животным миром" (зарегистрирован в Реестре государственной регистрации нормативных правовых актов за № 10168),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разрешений на пользование животным миром (далее – Правила),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8" w:id="3"/>
    <w:p>
      <w:pPr>
        <w:spacing w:after="0"/>
        <w:ind w:left="0"/>
        <w:jc w:val="both"/>
      </w:pPr>
      <w:r>
        <w:rPr>
          <w:rFonts w:ascii="Times New Roman"/>
          <w:b w:val="false"/>
          <w:i w:val="false"/>
          <w:color w:val="000000"/>
          <w:sz w:val="28"/>
        </w:rPr>
        <w:t>
      2.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и природных ресурсов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и природных ресурсов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 и природных ресурсов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экологии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2023 года № 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выдачи</w:t>
            </w:r>
            <w:r>
              <w:br/>
            </w:r>
            <w:r>
              <w:rPr>
                <w:rFonts w:ascii="Times New Roman"/>
                <w:b w:val="false"/>
                <w:i w:val="false"/>
                <w:color w:val="000000"/>
                <w:sz w:val="20"/>
              </w:rPr>
              <w:t>разрешений на пользование</w:t>
            </w:r>
            <w:r>
              <w:br/>
            </w:r>
            <w:r>
              <w:rPr>
                <w:rFonts w:ascii="Times New Roman"/>
                <w:b w:val="false"/>
                <w:i w:val="false"/>
                <w:color w:val="000000"/>
                <w:sz w:val="20"/>
              </w:rPr>
              <w:t>животным миром</w:t>
            </w:r>
          </w:p>
        </w:tc>
      </w:tr>
    </w:tbl>
    <w:bookmarkStart w:name="z18" w:id="10"/>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разрешений на пользование животным миром"</w:t>
      </w:r>
    </w:p>
    <w:bookmarkEnd w:id="10"/>
    <w:bookmarkStart w:name="z19" w:id="11"/>
    <w:p>
      <w:pPr>
        <w:spacing w:after="0"/>
        <w:ind w:left="0"/>
        <w:jc w:val="both"/>
      </w:pPr>
      <w:r>
        <w:rPr>
          <w:rFonts w:ascii="Times New Roman"/>
          <w:b w:val="false"/>
          <w:i w:val="false"/>
          <w:color w:val="000000"/>
          <w:sz w:val="28"/>
        </w:rPr>
        <w:t>
      1. Охота;</w:t>
      </w:r>
    </w:p>
    <w:bookmarkEnd w:id="11"/>
    <w:bookmarkStart w:name="z20" w:id="12"/>
    <w:p>
      <w:pPr>
        <w:spacing w:after="0"/>
        <w:ind w:left="0"/>
        <w:jc w:val="both"/>
      </w:pPr>
      <w:r>
        <w:rPr>
          <w:rFonts w:ascii="Times New Roman"/>
          <w:b w:val="false"/>
          <w:i w:val="false"/>
          <w:color w:val="000000"/>
          <w:sz w:val="28"/>
        </w:rPr>
        <w:t>
      2. Рыболовство (промысловое, любительское (спортивное), научно-исследовательский лов, мелиоративный лов, лов в воспроизводственных целях);</w:t>
      </w:r>
    </w:p>
    <w:bookmarkEnd w:id="12"/>
    <w:bookmarkStart w:name="z21" w:id="13"/>
    <w:p>
      <w:pPr>
        <w:spacing w:after="0"/>
        <w:ind w:left="0"/>
        <w:jc w:val="both"/>
      </w:pPr>
      <w:r>
        <w:rPr>
          <w:rFonts w:ascii="Times New Roman"/>
          <w:b w:val="false"/>
          <w:i w:val="false"/>
          <w:color w:val="000000"/>
          <w:sz w:val="28"/>
        </w:rPr>
        <w:t>
      3. Использование животных в научных, культурно-просветительских, воспитательных, эстетических целях, а также в целях предотвращения эпизоотии;</w:t>
      </w:r>
    </w:p>
    <w:bookmarkEnd w:id="13"/>
    <w:bookmarkStart w:name="z22" w:id="14"/>
    <w:p>
      <w:pPr>
        <w:spacing w:after="0"/>
        <w:ind w:left="0"/>
        <w:jc w:val="both"/>
      </w:pPr>
      <w:r>
        <w:rPr>
          <w:rFonts w:ascii="Times New Roman"/>
          <w:b w:val="false"/>
          <w:i w:val="false"/>
          <w:color w:val="000000"/>
          <w:sz w:val="28"/>
        </w:rPr>
        <w:t>
      4. Использование видов животных в воспроизводственных целях.</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Комитет рыбного хозяйства Министерства экологии и природных ресурсов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По всем подвидам:</w:t>
            </w:r>
          </w:p>
          <w:bookmarkEnd w:id="15"/>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Разрешения на пользование животным миром выдаются на следующие виды специального пользования животным миром:</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1) охота;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рыболовство (промысловое, любительское (спортивное), научно-исследовательский лов, мелиоративный лов, лов в воспроизводственных целях);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использование животных в научных, культурно-просветительских, воспитательных, эстетических целях, а также в целях предотвращения эпизоотии;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использование видов животных в воспроизводственных целях.</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По всем подвидам:</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на платной/бесплатной основе.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Плата за пользование животным миром осуществляется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 Оплата производится в наличной или безналичной форме через банки второго уровня или организации, осуществляющие отдельные виды банковских операций, а также через портал оплата осуществляется через платежный шлюз "электронного правительства" (далее – ПШЭП).</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Сумма платы уплачивается в бюджет по месту получения разрешения на пользование животным миром. Уплата производится до получения разрешения путем перечисления через банки второго уровня или организации, осуществляющие отдельные виды банковских операций, за исключением платы за пользование видами животных, являющихся объектами промыслового рыболовства, при превышении суммы платы, подлежащей уплате в бюджет, в сумме более 350-кратного размера месячного расчетного показателя по квотам изъятия объектов промыслового рыболовства текущего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Уплата платы за пользование видами животных, являющихся объектами промыслового рыболовства, при превышении суммы платы, подлежащей уплате в бюджет, в сумме более 350-кратного размера месячного расчетного показателя по квотам изъятия объектов промыслового рыболовства текущего года производится долями в следующие сроки:</w:t>
            </w:r>
          </w:p>
          <w:p>
            <w:pPr>
              <w:spacing w:after="20"/>
              <w:ind w:left="20"/>
              <w:jc w:val="both"/>
            </w:pPr>
            <w:r>
              <w:rPr>
                <w:rFonts w:ascii="Times New Roman"/>
                <w:b w:val="false"/>
                <w:i w:val="false"/>
                <w:color w:val="000000"/>
                <w:sz w:val="20"/>
              </w:rPr>
              <w:t>
</w:t>
            </w:r>
            <w:r>
              <w:rPr>
                <w:rFonts w:ascii="Times New Roman"/>
                <w:b w:val="false"/>
                <w:i w:val="false"/>
                <w:color w:val="000000"/>
                <w:sz w:val="20"/>
              </w:rPr>
              <w:t>до 25 декабря текущего года – 20 процентов от общей квоты, выданной в текущем году;</w:t>
            </w:r>
          </w:p>
          <w:p>
            <w:pPr>
              <w:spacing w:after="20"/>
              <w:ind w:left="20"/>
              <w:jc w:val="both"/>
            </w:pPr>
            <w:r>
              <w:rPr>
                <w:rFonts w:ascii="Times New Roman"/>
                <w:b w:val="false"/>
                <w:i w:val="false"/>
                <w:color w:val="000000"/>
                <w:sz w:val="20"/>
              </w:rPr>
              <w:t>
</w:t>
            </w:r>
            <w:r>
              <w:rPr>
                <w:rFonts w:ascii="Times New Roman"/>
                <w:b w:val="false"/>
                <w:i w:val="false"/>
                <w:color w:val="000000"/>
                <w:sz w:val="20"/>
              </w:rPr>
              <w:t>до 25 марта года, следующего за годом, в котором выдана квота – 40 процентов от общей квоты, выданной в текущем году;</w:t>
            </w:r>
          </w:p>
          <w:p>
            <w:pPr>
              <w:spacing w:after="20"/>
              <w:ind w:left="20"/>
              <w:jc w:val="both"/>
            </w:pPr>
            <w:r>
              <w:rPr>
                <w:rFonts w:ascii="Times New Roman"/>
                <w:b w:val="false"/>
                <w:i w:val="false"/>
                <w:color w:val="000000"/>
                <w:sz w:val="20"/>
              </w:rPr>
              <w:t>
</w:t>
            </w:r>
            <w:r>
              <w:rPr>
                <w:rFonts w:ascii="Times New Roman"/>
                <w:b w:val="false"/>
                <w:i w:val="false"/>
                <w:color w:val="000000"/>
                <w:sz w:val="20"/>
              </w:rPr>
              <w:t>до 25 июня года, следующего за годом, в котором выдана квота – 40 процентов от общей квоты, выданной в текущем году.</w:t>
            </w:r>
          </w:p>
          <w:p>
            <w:pPr>
              <w:spacing w:after="20"/>
              <w:ind w:left="20"/>
              <w:jc w:val="both"/>
            </w:pPr>
            <w:r>
              <w:rPr>
                <w:rFonts w:ascii="Times New Roman"/>
                <w:b w:val="false"/>
                <w:i w:val="false"/>
                <w:color w:val="000000"/>
                <w:sz w:val="20"/>
              </w:rPr>
              <w:t>
</w:t>
            </w:r>
            <w:r>
              <w:rPr>
                <w:rFonts w:ascii="Times New Roman"/>
                <w:b w:val="false"/>
                <w:i w:val="false"/>
                <w:color w:val="000000"/>
                <w:sz w:val="20"/>
              </w:rPr>
              <w:t>Плата не взимается: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 изъятии из природной среды животных для целей мечения, кольцевания, переселения, акклиматизации, искусственного разведения и скрещивания в научно-исследовательских и хозяйственных целях с последующим их выпуском в природную среду;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использовании объектов животного мира, являющихся собственностью физических и юридических лиц, разведенных искусственным путем и содержащихся в неволе и (или) полувольных условиях;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осуществлении уполномоченным государственным органом в области охраны, воспроизводства и использования животного мира контрольного лова рыб и других водных животных в целях биологического обоснования на пользование рыбными ресурсами и другими видами водных животных;</w:t>
            </w:r>
          </w:p>
          <w:p>
            <w:pPr>
              <w:spacing w:after="20"/>
              <w:ind w:left="20"/>
              <w:jc w:val="both"/>
            </w:pPr>
            <w:r>
              <w:rPr>
                <w:rFonts w:ascii="Times New Roman"/>
                <w:b w:val="false"/>
                <w:i w:val="false"/>
                <w:color w:val="000000"/>
                <w:sz w:val="20"/>
              </w:rPr>
              <w:t>
4) при изъятии видов животных, численность которых подлежит регулированию в целях охраны здоровья населения, предохранения от заболеваний сельскохозяйственных и других домашних животных, предотвращения ущерба окружающей среде, предупреждения опасности нанесения существенного ущерба сельскохозяйственной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8"/>
          <w:p>
            <w:pPr>
              <w:spacing w:after="20"/>
              <w:ind w:left="20"/>
              <w:jc w:val="both"/>
            </w:pPr>
            <w:r>
              <w:rPr>
                <w:rFonts w:ascii="Times New Roman"/>
                <w:b w:val="false"/>
                <w:i w:val="false"/>
                <w:color w:val="000000"/>
                <w:sz w:val="20"/>
              </w:rPr>
              <w:t xml:space="preserve">
1) услугодатель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с перерывом на обед с 13.00 часов до 14.30 часов;</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9"/>
          <w:p>
            <w:pPr>
              <w:spacing w:after="20"/>
              <w:ind w:left="20"/>
              <w:jc w:val="both"/>
            </w:pPr>
            <w:r>
              <w:rPr>
                <w:rFonts w:ascii="Times New Roman"/>
                <w:b w:val="false"/>
                <w:i w:val="false"/>
                <w:color w:val="000000"/>
                <w:sz w:val="20"/>
              </w:rPr>
              <w:t>
Заявка в форме электронного документа, удостоверенная электронно-цифровой подписью (далее – ЭЦП) услугополучателя:</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при выдаче разрешений на пользование животным миром (на промысловое рыболовство, на научно-исследовательский лов, мелиоративный лов, на лов в воспроизводственных целях, любительское (спортивное) рыболовство)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при выдаче разрешений на пользование животным миром (на охоту, на использование животных в научных, культурно-просветительских, воспитательных, эстетических целях, а также в целях предотвращения эпизоотии, на использование видов животных в воспроизводственных целях)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В зависимости от вида пользования, дополнительно: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1) на охоту (при первичном обращении): в случае, если изъятие объектов животного мира производится с участием иностранцев – электронная копия договора субъекта охотничьего хозяйства с иностранцами на организацию охоты;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научно-исследовательский лов: электронная копия обоснования проведения научных работ, утвержденная ученым советом профилирующей научной организации, и программы научно-исследовательских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расчетов, обосновывающая предполагаемый объем изъятия объектов животного мира;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отчета о результатах использования ранее выданных разрешений (в случае выданных разрешений);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на мелиоративный лов: заявка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4) на лов в воспроизводственных целях: электронная копия биологического обоснования, утвержденная ученым советом профилирующей научной организации, за исключением случаев вылова для целей выполнения государственного заказа на воспроизводство рыбных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на промысловый лов: заявка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6) на использование видов животных в воспроизводственных целях: электронная копия обосновывающих материалов изъятия объектов животного мира (биологического обоснование).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на использование животных в научных, культурно-просветительских, воспитательных, эстетических целях, а также в целях предотвращения эпизоотии: электронная копия выписки из научно-тематического плана, утвержденная ученым советом профилирующей научной организации, и программы научно-исследовательских работ, электронная копия обосновывающих материалов изъятия объектов животного мира (биологического обоснование), кроме эпизоотического мониторинга;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ежегодного плана работы государственной ветеринарной организации уполномоченного органа в области ветеринарии для эпизоотического мониторинга болезней животных в Республике Казахстан, в целях предотвращения эпизоотии; </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государственной регистрации (перерегистрации) юридического лица, о государственной регистрации индивидуального предпринимателя, либо о начале деятельности в качестве индивидуального предпринимателя, документа об оплате за пользование животным миром услугодатель получает из соответствующих государственных систем через ПШЭП.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подаче документов, указанных в </w:t>
            </w:r>
            <w:r>
              <w:rPr>
                <w:rFonts w:ascii="Times New Roman"/>
                <w:b w:val="false"/>
                <w:i w:val="false"/>
                <w:color w:val="000000"/>
                <w:sz w:val="20"/>
              </w:rPr>
              <w:t>пункте 10</w:t>
            </w:r>
            <w:r>
              <w:rPr>
                <w:rFonts w:ascii="Times New Roman"/>
                <w:b w:val="false"/>
                <w:i w:val="false"/>
                <w:color w:val="000000"/>
                <w:sz w:val="20"/>
              </w:rPr>
              <w:t xml:space="preserve"> настоящих Правил услугополучателю в "личный кабинет" через Портал направляется статус о принятии запроса для оказания государственной услуги с указанием даты выдачи результата.</w:t>
            </w:r>
          </w:p>
          <w:p>
            <w:pPr>
              <w:spacing w:after="20"/>
              <w:ind w:left="20"/>
              <w:jc w:val="both"/>
            </w:pPr>
            <w:r>
              <w:rPr>
                <w:rFonts w:ascii="Times New Roman"/>
                <w:b w:val="false"/>
                <w:i w:val="false"/>
                <w:color w:val="000000"/>
                <w:sz w:val="20"/>
              </w:rPr>
              <w:t>
Результат оказания государственной услуги подписывается электронной цифровой подписью руководителя услугодателя либо лица его замещающего и направляется через портал в "личный кабинет" услугополучателя в форме электронного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0"/>
          <w:p>
            <w:pPr>
              <w:spacing w:after="20"/>
              <w:ind w:left="20"/>
              <w:jc w:val="both"/>
            </w:pPr>
            <w:r>
              <w:rPr>
                <w:rFonts w:ascii="Times New Roman"/>
                <w:b w:val="false"/>
                <w:i w:val="false"/>
                <w:color w:val="000000"/>
                <w:sz w:val="20"/>
              </w:rPr>
              <w:t xml:space="preserve">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настоящими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1"/>
          <w:p>
            <w:pPr>
              <w:spacing w:after="20"/>
              <w:ind w:left="20"/>
              <w:jc w:val="both"/>
            </w:pPr>
            <w:r>
              <w:rPr>
                <w:rFonts w:ascii="Times New Roman"/>
                <w:b w:val="false"/>
                <w:i w:val="false"/>
                <w:color w:val="000000"/>
                <w:sz w:val="20"/>
              </w:rPr>
              <w:t xml:space="preserve">
1) Для получения разрешения в целях научно-исследовательского лова необходимо наличие свидетельства об аккредитации субъекта как субъекта научной и (или) научно-технической деятельности в порядке, определенном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8 июня 2011 года № 645 "Об утверждении Правил аккредитации субъектов научной и (или) научно-технической деятельности".</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