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63da" w14:textId="0bd6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цифрового развития, инноваций и аэрокосмической промышленности Республики Казахстан от 5 октября 2020 года № 370/НҚ "Об утверждении Правил предоставления инновационных грантов на технологическое развитие действующих предприятий"</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24 мая 2023 года № 107/НҚ. Зарегистрирован в Министерстве юстиции Республики Казахстан 25 мая 2023 года № 32565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5 октября 2020 года № 370/НҚ "Об утверждении Правил предоставления инновационных грантов на технологическое развитие действующих предприятий" (зарегистрирован в Реестре государственной регистрации нормативных правовых актов № 21380)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инновационных грантов на технологическое развитие действующих предприятий,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исключить;</w:t>
      </w:r>
    </w:p>
    <w:bookmarkStart w:name="z10" w:id="4"/>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
    <w:bookmarkStart w:name="z11" w:id="5"/>
    <w:p>
      <w:pPr>
        <w:spacing w:after="0"/>
        <w:ind w:left="0"/>
        <w:jc w:val="both"/>
      </w:pPr>
      <w:r>
        <w:rPr>
          <w:rFonts w:ascii="Times New Roman"/>
          <w:b w:val="false"/>
          <w:i w:val="false"/>
          <w:color w:val="000000"/>
          <w:sz w:val="28"/>
        </w:rPr>
        <w:t>
      "При этом уполномоченный орган проводит конкурс по предоставлению инновационных грантов на технологическое развитие действующих предприятий по всем или отдельным приоритетным направлениям из числа определенных приоритетных направлений путем привлечения национального института развития в области инновационного развития.</w:t>
      </w:r>
    </w:p>
    <w:bookmarkEnd w:id="5"/>
    <w:bookmarkStart w:name="z12" w:id="6"/>
    <w:p>
      <w:pPr>
        <w:spacing w:after="0"/>
        <w:ind w:left="0"/>
        <w:jc w:val="both"/>
      </w:pPr>
      <w:r>
        <w:rPr>
          <w:rFonts w:ascii="Times New Roman"/>
          <w:b w:val="false"/>
          <w:i w:val="false"/>
          <w:color w:val="000000"/>
          <w:sz w:val="28"/>
        </w:rPr>
        <w:t>
      Инновационный грант не предоставляется субъектам 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"6. Остатки средств на текущем счете национального института, числящиеся на конец финансового года, не подлежат возврату уполномоченному органу и, соответственно, в государственный бюджет, а расходуются на предоставление инновационных грантов в следующем финансовом году.";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"7. Услуги национального института по предоставлению инновационных грантов оплачиваются уполномоченным органом за счет средств республиканского бюджета.";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"9. Процедура предоставления инновационных грантов на технологическое развитие действующих предприятий включает в себя следующие этапы:</w:t>
      </w:r>
    </w:p>
    <w:bookmarkEnd w:id="9"/>
    <w:bookmarkStart w:name="z19" w:id="10"/>
    <w:p>
      <w:pPr>
        <w:spacing w:after="0"/>
        <w:ind w:left="0"/>
        <w:jc w:val="both"/>
      </w:pPr>
      <w:r>
        <w:rPr>
          <w:rFonts w:ascii="Times New Roman"/>
          <w:b w:val="false"/>
          <w:i w:val="false"/>
          <w:color w:val="000000"/>
          <w:sz w:val="28"/>
        </w:rPr>
        <w:t xml:space="preserve">
      1) прием, регистрация и предварительная проверка национальным институтом заявки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 с приложенными документами, указанными в пункте 21 настоящих Правил, на их полноту осуществляется в течение 5 (пять) рабочих дней со дня получения заявки.</w:t>
      </w:r>
    </w:p>
    <w:bookmarkEnd w:id="10"/>
    <w:bookmarkStart w:name="z20" w:id="11"/>
    <w:p>
      <w:pPr>
        <w:spacing w:after="0"/>
        <w:ind w:left="0"/>
        <w:jc w:val="both"/>
      </w:pPr>
      <w:r>
        <w:rPr>
          <w:rFonts w:ascii="Times New Roman"/>
          <w:b w:val="false"/>
          <w:i w:val="false"/>
          <w:color w:val="000000"/>
          <w:sz w:val="28"/>
        </w:rPr>
        <w:t>
      После окончания предварительной проверки заявки национальный институт направляет на адрес электронной почты заявителя, указанный в заявке, уведомление о выявленных замечаниях (при их наличия).</w:t>
      </w:r>
    </w:p>
    <w:bookmarkEnd w:id="11"/>
    <w:bookmarkStart w:name="z21" w:id="12"/>
    <w:p>
      <w:pPr>
        <w:spacing w:after="0"/>
        <w:ind w:left="0"/>
        <w:jc w:val="both"/>
      </w:pPr>
      <w:r>
        <w:rPr>
          <w:rFonts w:ascii="Times New Roman"/>
          <w:b w:val="false"/>
          <w:i w:val="false"/>
          <w:color w:val="000000"/>
          <w:sz w:val="28"/>
        </w:rPr>
        <w:t>
      Заявитель устраняет указанные в уведомлении замечания в течение 10 (десять) рабочих дней с момента их получения.</w:t>
      </w:r>
    </w:p>
    <w:bookmarkEnd w:id="12"/>
    <w:bookmarkStart w:name="z22" w:id="13"/>
    <w:p>
      <w:pPr>
        <w:spacing w:after="0"/>
        <w:ind w:left="0"/>
        <w:jc w:val="both"/>
      </w:pPr>
      <w:r>
        <w:rPr>
          <w:rFonts w:ascii="Times New Roman"/>
          <w:b w:val="false"/>
          <w:i w:val="false"/>
          <w:color w:val="000000"/>
          <w:sz w:val="28"/>
        </w:rPr>
        <w:t>
      При не устранения заявителем замечаний в указанный срок, национальный институт оставляет заявку без дальнейшего рассмотрения.</w:t>
      </w:r>
    </w:p>
    <w:bookmarkEnd w:id="13"/>
    <w:bookmarkStart w:name="z23" w:id="14"/>
    <w:p>
      <w:pPr>
        <w:spacing w:after="0"/>
        <w:ind w:left="0"/>
        <w:jc w:val="both"/>
      </w:pPr>
      <w:r>
        <w:rPr>
          <w:rFonts w:ascii="Times New Roman"/>
          <w:b w:val="false"/>
          <w:i w:val="false"/>
          <w:color w:val="000000"/>
          <w:sz w:val="28"/>
        </w:rPr>
        <w:t>
      В период устранения заявителем замечаний срок рассмотрения заявки приостанавливается с момента отправки посредством автоматизированной системы заявителю официального уведомления о выявленных замечаниях и возобновляется вновь после их устранения;</w:t>
      </w:r>
    </w:p>
    <w:bookmarkEnd w:id="14"/>
    <w:bookmarkStart w:name="z24" w:id="15"/>
    <w:p>
      <w:pPr>
        <w:spacing w:after="0"/>
        <w:ind w:left="0"/>
        <w:jc w:val="both"/>
      </w:pPr>
      <w:r>
        <w:rPr>
          <w:rFonts w:ascii="Times New Roman"/>
          <w:b w:val="false"/>
          <w:i w:val="false"/>
          <w:color w:val="000000"/>
          <w:sz w:val="28"/>
        </w:rPr>
        <w:t>
      2) осуществление повторной проверки документов заявителя в течение 3 (три) рабочих дней со дня получения национальным институтом (при направлении уведомления заявителю о выявленных замечаниях).</w:t>
      </w:r>
    </w:p>
    <w:bookmarkEnd w:id="15"/>
    <w:bookmarkStart w:name="z25" w:id="16"/>
    <w:p>
      <w:pPr>
        <w:spacing w:after="0"/>
        <w:ind w:left="0"/>
        <w:jc w:val="both"/>
      </w:pPr>
      <w:r>
        <w:rPr>
          <w:rFonts w:ascii="Times New Roman"/>
          <w:b w:val="false"/>
          <w:i w:val="false"/>
          <w:color w:val="000000"/>
          <w:sz w:val="28"/>
        </w:rPr>
        <w:t>
      Национальный институт обеспечивает неразглашение информации о заявке третьим лицам, незадействованным в процессе предоставления инновационных грантов, за исключением акционера национального института и уполномоченного органа;</w:t>
      </w:r>
    </w:p>
    <w:bookmarkEnd w:id="16"/>
    <w:bookmarkStart w:name="z26" w:id="17"/>
    <w:p>
      <w:pPr>
        <w:spacing w:after="0"/>
        <w:ind w:left="0"/>
        <w:jc w:val="both"/>
      </w:pPr>
      <w:r>
        <w:rPr>
          <w:rFonts w:ascii="Times New Roman"/>
          <w:b w:val="false"/>
          <w:i w:val="false"/>
          <w:color w:val="000000"/>
          <w:sz w:val="28"/>
        </w:rPr>
        <w:t xml:space="preserve">
      3) проведение экспертизы заявки национальным институтом в течение 20 (двадцать) рабочих дней на основании критериев оценки проектов, указанных в Требованиях к процедуре проведения экспертизы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
    <w:bookmarkStart w:name="z27" w:id="18"/>
    <w:p>
      <w:pPr>
        <w:spacing w:after="0"/>
        <w:ind w:left="0"/>
        <w:jc w:val="both"/>
      </w:pPr>
      <w:r>
        <w:rPr>
          <w:rFonts w:ascii="Times New Roman"/>
          <w:b w:val="false"/>
          <w:i w:val="false"/>
          <w:color w:val="000000"/>
          <w:sz w:val="28"/>
        </w:rPr>
        <w:t>
      4) формирование и направление заключения по результатам проведения экспертиз заявки на рассмотрение Совету в течение 5 (пять) рабочих дней со дня получения заключений экспертиз;</w:t>
      </w:r>
    </w:p>
    <w:bookmarkEnd w:id="18"/>
    <w:bookmarkStart w:name="z28" w:id="19"/>
    <w:p>
      <w:pPr>
        <w:spacing w:after="0"/>
        <w:ind w:left="0"/>
        <w:jc w:val="both"/>
      </w:pPr>
      <w:r>
        <w:rPr>
          <w:rFonts w:ascii="Times New Roman"/>
          <w:b w:val="false"/>
          <w:i w:val="false"/>
          <w:color w:val="000000"/>
          <w:sz w:val="28"/>
        </w:rPr>
        <w:t>
      5) организация заседаний Совета и принятие решения о предоставлении либо не предоставлении инновационного гранта;</w:t>
      </w:r>
    </w:p>
    <w:bookmarkEnd w:id="19"/>
    <w:bookmarkStart w:name="z29" w:id="20"/>
    <w:p>
      <w:pPr>
        <w:spacing w:after="0"/>
        <w:ind w:left="0"/>
        <w:jc w:val="both"/>
      </w:pPr>
      <w:r>
        <w:rPr>
          <w:rFonts w:ascii="Times New Roman"/>
          <w:b w:val="false"/>
          <w:i w:val="false"/>
          <w:color w:val="000000"/>
          <w:sz w:val="28"/>
        </w:rPr>
        <w:t>
      В целях прозрачного и всестороннего рассмотрения заявок и принятия решения о предоставлении либо не предоставлении инновационного гранта в национальном институте создается Совет. Организация деятельности Совета, оплата труда его членов и состав регулируется актом национального института.</w:t>
      </w:r>
    </w:p>
    <w:bookmarkEnd w:id="20"/>
    <w:bookmarkStart w:name="z30" w:id="21"/>
    <w:p>
      <w:pPr>
        <w:spacing w:after="0"/>
        <w:ind w:left="0"/>
        <w:jc w:val="both"/>
      </w:pPr>
      <w:r>
        <w:rPr>
          <w:rFonts w:ascii="Times New Roman"/>
          <w:b w:val="false"/>
          <w:i w:val="false"/>
          <w:color w:val="000000"/>
          <w:sz w:val="28"/>
        </w:rPr>
        <w:t>
      Общий срок процедур, указанных в подпункте 5) пункта 9 настоящих Правил, составляет 20 (двадцать) рабочих дней;</w:t>
      </w:r>
    </w:p>
    <w:bookmarkEnd w:id="21"/>
    <w:bookmarkStart w:name="z31" w:id="22"/>
    <w:p>
      <w:pPr>
        <w:spacing w:after="0"/>
        <w:ind w:left="0"/>
        <w:jc w:val="both"/>
      </w:pPr>
      <w:r>
        <w:rPr>
          <w:rFonts w:ascii="Times New Roman"/>
          <w:b w:val="false"/>
          <w:i w:val="false"/>
          <w:color w:val="000000"/>
          <w:sz w:val="28"/>
        </w:rPr>
        <w:t>
      6) национальный институт отказывает в предоставлении инновационного гранта на технологическое развитие действующих предприятий в следующих случаях:</w:t>
      </w:r>
    </w:p>
    <w:bookmarkEnd w:id="22"/>
    <w:bookmarkStart w:name="z32" w:id="23"/>
    <w:p>
      <w:pPr>
        <w:spacing w:after="0"/>
        <w:ind w:left="0"/>
        <w:jc w:val="both"/>
      </w:pPr>
      <w:r>
        <w:rPr>
          <w:rFonts w:ascii="Times New Roman"/>
          <w:b w:val="false"/>
          <w:i w:val="false"/>
          <w:color w:val="000000"/>
          <w:sz w:val="28"/>
        </w:rPr>
        <w:t>
      установления недостоверности документов, представленных заявителем для получения инновационного гранта, и (или) данных (сведений), содержащихся в них;</w:t>
      </w:r>
    </w:p>
    <w:bookmarkEnd w:id="23"/>
    <w:bookmarkStart w:name="z33" w:id="24"/>
    <w:p>
      <w:pPr>
        <w:spacing w:after="0"/>
        <w:ind w:left="0"/>
        <w:jc w:val="both"/>
      </w:pPr>
      <w:r>
        <w:rPr>
          <w:rFonts w:ascii="Times New Roman"/>
          <w:b w:val="false"/>
          <w:i w:val="false"/>
          <w:color w:val="000000"/>
          <w:sz w:val="28"/>
        </w:rPr>
        <w:t>
      несоответствие заявителя и (или) представленных материалов, объектов, данных и сведений, необходимых для предоставления инновационного гранта, требованиям настоящих Правил;</w:t>
      </w:r>
    </w:p>
    <w:bookmarkEnd w:id="24"/>
    <w:bookmarkStart w:name="z34" w:id="25"/>
    <w:p>
      <w:pPr>
        <w:spacing w:after="0"/>
        <w:ind w:left="0"/>
        <w:jc w:val="both"/>
      </w:pPr>
      <w:r>
        <w:rPr>
          <w:rFonts w:ascii="Times New Roman"/>
          <w:b w:val="false"/>
          <w:i w:val="false"/>
          <w:color w:val="000000"/>
          <w:sz w:val="28"/>
        </w:rPr>
        <w:t>
      если инновационному проекту ранее была оказана государственная финансовая поддержка на заявленные цели;</w:t>
      </w:r>
    </w:p>
    <w:bookmarkEnd w:id="25"/>
    <w:bookmarkStart w:name="z35" w:id="26"/>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законодательством Республики Казахстан;</w:t>
      </w:r>
    </w:p>
    <w:bookmarkEnd w:id="26"/>
    <w:bookmarkStart w:name="z36" w:id="27"/>
    <w:p>
      <w:pPr>
        <w:spacing w:after="0"/>
        <w:ind w:left="0"/>
        <w:jc w:val="both"/>
      </w:pPr>
      <w:r>
        <w:rPr>
          <w:rFonts w:ascii="Times New Roman"/>
          <w:b w:val="false"/>
          <w:i w:val="false"/>
          <w:color w:val="000000"/>
          <w:sz w:val="28"/>
        </w:rPr>
        <w:t>
      мотивированного решения Совета об отказе в предоставлении инновационного гранта;</w:t>
      </w:r>
    </w:p>
    <w:bookmarkEnd w:id="27"/>
    <w:bookmarkStart w:name="z37" w:id="28"/>
    <w:p>
      <w:pPr>
        <w:spacing w:after="0"/>
        <w:ind w:left="0"/>
        <w:jc w:val="both"/>
      </w:pPr>
      <w:r>
        <w:rPr>
          <w:rFonts w:ascii="Times New Roman"/>
          <w:b w:val="false"/>
          <w:i w:val="false"/>
          <w:color w:val="000000"/>
          <w:sz w:val="28"/>
        </w:rPr>
        <w:t>
      при аффилированности собственника технологии или лица, осуществляющего уступку прав по технологии с заявителем;</w:t>
      </w:r>
    </w:p>
    <w:bookmarkEnd w:id="28"/>
    <w:bookmarkStart w:name="z38" w:id="29"/>
    <w:p>
      <w:pPr>
        <w:spacing w:after="0"/>
        <w:ind w:left="0"/>
        <w:jc w:val="both"/>
      </w:pPr>
      <w:r>
        <w:rPr>
          <w:rFonts w:ascii="Times New Roman"/>
          <w:b w:val="false"/>
          <w:i w:val="false"/>
          <w:color w:val="000000"/>
          <w:sz w:val="28"/>
        </w:rPr>
        <w:t>
      7) подписание договора или направление заявителю обоснованного отказа в предоставлении инновационного гранта.</w:t>
      </w:r>
    </w:p>
    <w:bookmarkEnd w:id="29"/>
    <w:bookmarkStart w:name="z39" w:id="30"/>
    <w:p>
      <w:pPr>
        <w:spacing w:after="0"/>
        <w:ind w:left="0"/>
        <w:jc w:val="both"/>
      </w:pPr>
      <w:r>
        <w:rPr>
          <w:rFonts w:ascii="Times New Roman"/>
          <w:b w:val="false"/>
          <w:i w:val="false"/>
          <w:color w:val="000000"/>
          <w:sz w:val="28"/>
        </w:rPr>
        <w:t>
      В течение 3 (три) рабочих дней с даты принятия решения Советом, национальный институт уведомляет заявителя о необходимости подписания договора или направляет обоснованный отказ в предоставлении инновационного гранта.</w:t>
      </w:r>
    </w:p>
    <w:bookmarkEnd w:id="30"/>
    <w:bookmarkStart w:name="z40" w:id="31"/>
    <w:p>
      <w:pPr>
        <w:spacing w:after="0"/>
        <w:ind w:left="0"/>
        <w:jc w:val="both"/>
      </w:pPr>
      <w:r>
        <w:rPr>
          <w:rFonts w:ascii="Times New Roman"/>
          <w:b w:val="false"/>
          <w:i w:val="false"/>
          <w:color w:val="000000"/>
          <w:sz w:val="28"/>
        </w:rPr>
        <w:t>
      Общий срок процедур, указанных в пункте 9 настоящих Правил, составляет не более 56 (пятьдесят шесть) рабочих дней.</w:t>
      </w:r>
    </w:p>
    <w:bookmarkEnd w:id="31"/>
    <w:bookmarkStart w:name="z41" w:id="32"/>
    <w:p>
      <w:pPr>
        <w:spacing w:after="0"/>
        <w:ind w:left="0"/>
        <w:jc w:val="both"/>
      </w:pPr>
      <w:r>
        <w:rPr>
          <w:rFonts w:ascii="Times New Roman"/>
          <w:b w:val="false"/>
          <w:i w:val="false"/>
          <w:color w:val="000000"/>
          <w:sz w:val="28"/>
        </w:rPr>
        <w:t>
      Если на соответствующий финансовый год общий размер сумм, заявленных на получение инновационных грантов, будет превышать сумму, выделенную уполномоченным органом на соответствующий финансовый год, формирование списка грантополучателей осуществляется по принципу очередности поступления заявки;</w:t>
      </w:r>
    </w:p>
    <w:bookmarkEnd w:id="32"/>
    <w:bookmarkStart w:name="z42" w:id="33"/>
    <w:p>
      <w:pPr>
        <w:spacing w:after="0"/>
        <w:ind w:left="0"/>
        <w:jc w:val="both"/>
      </w:pPr>
      <w:r>
        <w:rPr>
          <w:rFonts w:ascii="Times New Roman"/>
          <w:b w:val="false"/>
          <w:i w:val="false"/>
          <w:color w:val="000000"/>
          <w:sz w:val="28"/>
        </w:rPr>
        <w:t>
      8) принятие грантополучателем встречных обязательств по предоставленному инновационному гранту.</w:t>
      </w:r>
    </w:p>
    <w:bookmarkEnd w:id="33"/>
    <w:bookmarkStart w:name="z43" w:id="34"/>
    <w:p>
      <w:pPr>
        <w:spacing w:after="0"/>
        <w:ind w:left="0"/>
        <w:jc w:val="both"/>
      </w:pPr>
      <w:r>
        <w:rPr>
          <w:rFonts w:ascii="Times New Roman"/>
          <w:b w:val="false"/>
          <w:i w:val="false"/>
          <w:color w:val="000000"/>
          <w:sz w:val="28"/>
        </w:rPr>
        <w:t>
      Грантополучатель с момента подписания договора и до решения национального института о завершении проекта обеспечивает исполнение встречных обязательств, направленные на создание производства по выпуску нового вида продукта и (или) автоматизации или оптимизацию производственного процесса(-ов).</w:t>
      </w:r>
    </w:p>
    <w:bookmarkEnd w:id="34"/>
    <w:bookmarkStart w:name="z44" w:id="35"/>
    <w:p>
      <w:pPr>
        <w:spacing w:after="0"/>
        <w:ind w:left="0"/>
        <w:jc w:val="both"/>
      </w:pPr>
      <w:r>
        <w:rPr>
          <w:rFonts w:ascii="Times New Roman"/>
          <w:b w:val="false"/>
          <w:i w:val="false"/>
          <w:color w:val="000000"/>
          <w:sz w:val="28"/>
        </w:rPr>
        <w:t xml:space="preserve">
      Грантополучатель в течение 3 (трех) лет с момента принятия решения национальным институтом о завершении проекта принимает встречные обязательства, направленные на увеличение объема реализованной инновационной продукции ежегодно не менее чем на 10% от суммы инновационного гранта и достижение объема экспорта инновационной продукции не менее чем на 10 % от суммы инновационного гранта. </w:t>
      </w:r>
    </w:p>
    <w:bookmarkEnd w:id="35"/>
    <w:bookmarkStart w:name="z45" w:id="36"/>
    <w:p>
      <w:pPr>
        <w:spacing w:after="0"/>
        <w:ind w:left="0"/>
        <w:jc w:val="both"/>
      </w:pPr>
      <w:r>
        <w:rPr>
          <w:rFonts w:ascii="Times New Roman"/>
          <w:b w:val="false"/>
          <w:i w:val="false"/>
          <w:color w:val="000000"/>
          <w:sz w:val="28"/>
        </w:rPr>
        <w:t>
      Грантополучатель, при получении гранта по приоритетному направлению "Информационно-коммуникационные технологии" и масштабирования опыта в срок освоения гранта, должен пройти отбор в Реестр доверенного программного обеспечения и продукции электронной промышленности или получить индустриальный сертификат.";</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7" w:id="37"/>
    <w:p>
      <w:pPr>
        <w:spacing w:after="0"/>
        <w:ind w:left="0"/>
        <w:jc w:val="both"/>
      </w:pPr>
      <w:r>
        <w:rPr>
          <w:rFonts w:ascii="Times New Roman"/>
          <w:b w:val="false"/>
          <w:i w:val="false"/>
          <w:color w:val="000000"/>
          <w:sz w:val="28"/>
        </w:rPr>
        <w:t>
      "10. На заседание Совета приглашается заявитель для презентации своего проекта очно или посредством средств телекоммуникаций с аудио и видеофиксацией.</w:t>
      </w:r>
    </w:p>
    <w:bookmarkEnd w:id="37"/>
    <w:bookmarkStart w:name="z48" w:id="38"/>
    <w:p>
      <w:pPr>
        <w:spacing w:after="0"/>
        <w:ind w:left="0"/>
        <w:jc w:val="both"/>
      </w:pPr>
      <w:r>
        <w:rPr>
          <w:rFonts w:ascii="Times New Roman"/>
          <w:b w:val="false"/>
          <w:i w:val="false"/>
          <w:color w:val="000000"/>
          <w:sz w:val="28"/>
        </w:rPr>
        <w:t>
      По результатам рассмотрения Совет принимает решение о предоставлении инновационного гранта или об отказе в его предоставлении заявителю.";</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0" w:id="39"/>
    <w:p>
      <w:pPr>
        <w:spacing w:after="0"/>
        <w:ind w:left="0"/>
        <w:jc w:val="both"/>
      </w:pPr>
      <w:r>
        <w:rPr>
          <w:rFonts w:ascii="Times New Roman"/>
          <w:b w:val="false"/>
          <w:i w:val="false"/>
          <w:color w:val="000000"/>
          <w:sz w:val="28"/>
        </w:rPr>
        <w:t>
      "14. Инновационный грант на технологическое развитие действующих предприятий предоставляется в размере до 70 (семидесяти) процентов обоснованных затрат по лицензионному договору и (или) до 50 (пятидесяти) процентов обоснованных затрат на приобретение программного обеспечения, комплектующих и (или) оборудования, но не более 400 000 000 (четыреста миллионов) тенге по приоритетным направлениям, включая оплату расходов на следующие цели:</w:t>
      </w:r>
    </w:p>
    <w:bookmarkEnd w:id="39"/>
    <w:bookmarkStart w:name="z51" w:id="40"/>
    <w:p>
      <w:pPr>
        <w:spacing w:after="0"/>
        <w:ind w:left="0"/>
        <w:jc w:val="both"/>
      </w:pPr>
      <w:r>
        <w:rPr>
          <w:rFonts w:ascii="Times New Roman"/>
          <w:b w:val="false"/>
          <w:i w:val="false"/>
          <w:color w:val="000000"/>
          <w:sz w:val="28"/>
        </w:rPr>
        <w:t>
      1) приобретение программного обеспечения и продукции электронной промышленности, включая затраты по кастомизации, внедрению и обучению персонала заявителя;</w:t>
      </w:r>
    </w:p>
    <w:bookmarkEnd w:id="40"/>
    <w:bookmarkStart w:name="z52" w:id="41"/>
    <w:p>
      <w:pPr>
        <w:spacing w:after="0"/>
        <w:ind w:left="0"/>
        <w:jc w:val="both"/>
      </w:pPr>
      <w:r>
        <w:rPr>
          <w:rFonts w:ascii="Times New Roman"/>
          <w:b w:val="false"/>
          <w:i w:val="false"/>
          <w:color w:val="000000"/>
          <w:sz w:val="28"/>
        </w:rPr>
        <w:t>
      2) на услуги по аренде программного обеспечения по модели SaaS, при которой действующее предприятие использует готовое программное обеспечение, обслуживаемое провайдером, посредством облачных технологий;</w:t>
      </w:r>
    </w:p>
    <w:bookmarkEnd w:id="41"/>
    <w:bookmarkStart w:name="z53" w:id="42"/>
    <w:p>
      <w:pPr>
        <w:spacing w:after="0"/>
        <w:ind w:left="0"/>
        <w:jc w:val="both"/>
      </w:pPr>
      <w:r>
        <w:rPr>
          <w:rFonts w:ascii="Times New Roman"/>
          <w:b w:val="false"/>
          <w:i w:val="false"/>
          <w:color w:val="000000"/>
          <w:sz w:val="28"/>
        </w:rPr>
        <w:t>
      3) приобретение технической документации и (или) оборудования, являющегося неотъемлемой частью приобретаемой технологии у собственника технологии;</w:t>
      </w:r>
    </w:p>
    <w:bookmarkEnd w:id="42"/>
    <w:bookmarkStart w:name="z54" w:id="43"/>
    <w:p>
      <w:pPr>
        <w:spacing w:after="0"/>
        <w:ind w:left="0"/>
        <w:jc w:val="both"/>
      </w:pPr>
      <w:r>
        <w:rPr>
          <w:rFonts w:ascii="Times New Roman"/>
          <w:b w:val="false"/>
          <w:i w:val="false"/>
          <w:color w:val="000000"/>
          <w:sz w:val="28"/>
        </w:rPr>
        <w:t>
      4) обучение инженерно-технического персонала, в том числе с привлечением зарубежных специалистов, связанное с дальнейшей эксплуатацией внедренной технологии;</w:t>
      </w:r>
    </w:p>
    <w:bookmarkEnd w:id="43"/>
    <w:bookmarkStart w:name="z55" w:id="44"/>
    <w:p>
      <w:pPr>
        <w:spacing w:after="0"/>
        <w:ind w:left="0"/>
        <w:jc w:val="both"/>
      </w:pPr>
      <w:r>
        <w:rPr>
          <w:rFonts w:ascii="Times New Roman"/>
          <w:b w:val="false"/>
          <w:i w:val="false"/>
          <w:color w:val="000000"/>
          <w:sz w:val="28"/>
        </w:rPr>
        <w:t>
      5) разработка промышленного дизайна, продукта;</w:t>
      </w:r>
    </w:p>
    <w:bookmarkEnd w:id="44"/>
    <w:bookmarkStart w:name="z56" w:id="45"/>
    <w:p>
      <w:pPr>
        <w:spacing w:after="0"/>
        <w:ind w:left="0"/>
        <w:jc w:val="both"/>
      </w:pPr>
      <w:r>
        <w:rPr>
          <w:rFonts w:ascii="Times New Roman"/>
          <w:b w:val="false"/>
          <w:i w:val="false"/>
          <w:color w:val="000000"/>
          <w:sz w:val="28"/>
        </w:rPr>
        <w:t>
      6) испытание технологического процесса;</w:t>
      </w:r>
    </w:p>
    <w:bookmarkEnd w:id="45"/>
    <w:bookmarkStart w:name="z57" w:id="46"/>
    <w:p>
      <w:pPr>
        <w:spacing w:after="0"/>
        <w:ind w:left="0"/>
        <w:jc w:val="both"/>
      </w:pPr>
      <w:r>
        <w:rPr>
          <w:rFonts w:ascii="Times New Roman"/>
          <w:b w:val="false"/>
          <w:i w:val="false"/>
          <w:color w:val="000000"/>
          <w:sz w:val="28"/>
        </w:rPr>
        <w:t>
      7) сертификация продукции.</w:t>
      </w:r>
    </w:p>
    <w:bookmarkEnd w:id="46"/>
    <w:bookmarkStart w:name="z58" w:id="47"/>
    <w:p>
      <w:pPr>
        <w:spacing w:after="0"/>
        <w:ind w:left="0"/>
        <w:jc w:val="both"/>
      </w:pPr>
      <w:r>
        <w:rPr>
          <w:rFonts w:ascii="Times New Roman"/>
          <w:b w:val="false"/>
          <w:i w:val="false"/>
          <w:color w:val="000000"/>
          <w:sz w:val="28"/>
        </w:rPr>
        <w:t>
      К заявителю устанавливаются следующие критерии:</w:t>
      </w:r>
    </w:p>
    <w:bookmarkEnd w:id="47"/>
    <w:bookmarkStart w:name="z59" w:id="48"/>
    <w:p>
      <w:pPr>
        <w:spacing w:after="0"/>
        <w:ind w:left="0"/>
        <w:jc w:val="both"/>
      </w:pPr>
      <w:r>
        <w:rPr>
          <w:rFonts w:ascii="Times New Roman"/>
          <w:b w:val="false"/>
          <w:i w:val="false"/>
          <w:color w:val="000000"/>
          <w:sz w:val="28"/>
        </w:rPr>
        <w:t>
      осуществляющие коммерческую деятельность в заявленной отрасли не менее 3 (три) лет;</w:t>
      </w:r>
    </w:p>
    <w:bookmarkEnd w:id="48"/>
    <w:bookmarkStart w:name="z60" w:id="49"/>
    <w:p>
      <w:pPr>
        <w:spacing w:after="0"/>
        <w:ind w:left="0"/>
        <w:jc w:val="both"/>
      </w:pPr>
      <w:r>
        <w:rPr>
          <w:rFonts w:ascii="Times New Roman"/>
          <w:b w:val="false"/>
          <w:i w:val="false"/>
          <w:color w:val="000000"/>
          <w:sz w:val="28"/>
        </w:rPr>
        <w:t>
      наличие инженерно-технического персонала с необходимым уровнем квалификации;</w:t>
      </w:r>
    </w:p>
    <w:bookmarkEnd w:id="49"/>
    <w:bookmarkStart w:name="z61" w:id="50"/>
    <w:p>
      <w:pPr>
        <w:spacing w:after="0"/>
        <w:ind w:left="0"/>
        <w:jc w:val="both"/>
      </w:pPr>
      <w:r>
        <w:rPr>
          <w:rFonts w:ascii="Times New Roman"/>
          <w:b w:val="false"/>
          <w:i w:val="false"/>
          <w:color w:val="000000"/>
          <w:sz w:val="28"/>
        </w:rPr>
        <w:t>
      суммарный годовой доход заявителя за последние 3 (три) года не менее полной стоимости проекта.";</w:t>
      </w:r>
    </w:p>
    <w:bookmarkEnd w:id="50"/>
    <w:bookmarkStart w:name="z62" w:id="51"/>
    <w:p>
      <w:pPr>
        <w:spacing w:after="0"/>
        <w:ind w:left="0"/>
        <w:jc w:val="both"/>
      </w:pPr>
      <w:r>
        <w:rPr>
          <w:rFonts w:ascii="Times New Roman"/>
          <w:b w:val="false"/>
          <w:i w:val="false"/>
          <w:color w:val="000000"/>
          <w:sz w:val="28"/>
        </w:rPr>
        <w:t>
      дополнить пунктом 15-1 следующего содержания:</w:t>
      </w:r>
    </w:p>
    <w:bookmarkEnd w:id="51"/>
    <w:bookmarkStart w:name="z63" w:id="52"/>
    <w:p>
      <w:pPr>
        <w:spacing w:after="0"/>
        <w:ind w:left="0"/>
        <w:jc w:val="both"/>
      </w:pPr>
      <w:r>
        <w:rPr>
          <w:rFonts w:ascii="Times New Roman"/>
          <w:b w:val="false"/>
          <w:i w:val="false"/>
          <w:color w:val="000000"/>
          <w:sz w:val="28"/>
        </w:rPr>
        <w:t xml:space="preserve">
      "15-1. Основания для отказа в предоставлении инновационного гранта: </w:t>
      </w:r>
    </w:p>
    <w:bookmarkEnd w:id="52"/>
    <w:bookmarkStart w:name="z64" w:id="53"/>
    <w:p>
      <w:pPr>
        <w:spacing w:after="0"/>
        <w:ind w:left="0"/>
        <w:jc w:val="both"/>
      </w:pPr>
      <w:r>
        <w:rPr>
          <w:rFonts w:ascii="Times New Roman"/>
          <w:b w:val="false"/>
          <w:i w:val="false"/>
          <w:color w:val="000000"/>
          <w:sz w:val="28"/>
        </w:rPr>
        <w:t>
      1) установление несоответствия заявителя, недостоверности документов, представленных заявителем для получения инновационного гранта, и (или) данных (сведений), содержащихся в них требованиям настоящих Правил;</w:t>
      </w:r>
    </w:p>
    <w:bookmarkEnd w:id="53"/>
    <w:bookmarkStart w:name="z65" w:id="54"/>
    <w:p>
      <w:pPr>
        <w:spacing w:after="0"/>
        <w:ind w:left="0"/>
        <w:jc w:val="both"/>
      </w:pPr>
      <w:r>
        <w:rPr>
          <w:rFonts w:ascii="Times New Roman"/>
          <w:b w:val="false"/>
          <w:i w:val="false"/>
          <w:color w:val="000000"/>
          <w:sz w:val="28"/>
        </w:rPr>
        <w:t>
      2) отрицательное решение Совета по грантовому финансированию.";</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68" w:id="55"/>
    <w:p>
      <w:pPr>
        <w:spacing w:after="0"/>
        <w:ind w:left="0"/>
        <w:jc w:val="both"/>
      </w:pPr>
      <w:r>
        <w:rPr>
          <w:rFonts w:ascii="Times New Roman"/>
          <w:b w:val="false"/>
          <w:i w:val="false"/>
          <w:color w:val="000000"/>
          <w:sz w:val="28"/>
        </w:rPr>
        <w:t>
      "21. Заявитель представляет в национальный институт заявку посредством автоматизированной системы, включающую следующие документы:</w:t>
      </w:r>
    </w:p>
    <w:bookmarkEnd w:id="55"/>
    <w:bookmarkStart w:name="z69" w:id="56"/>
    <w:p>
      <w:pPr>
        <w:spacing w:after="0"/>
        <w:ind w:left="0"/>
        <w:jc w:val="both"/>
      </w:pPr>
      <w:r>
        <w:rPr>
          <w:rFonts w:ascii="Times New Roman"/>
          <w:b w:val="false"/>
          <w:i w:val="false"/>
          <w:color w:val="000000"/>
          <w:sz w:val="28"/>
        </w:rPr>
        <w:t>
      1) копию документа, подтверждающего намерение сторон о передаче технологии с указанием условий передачи или внедрения разработки и (или) продукции электронной промышленности с указанием соответствующих условий;</w:t>
      </w:r>
    </w:p>
    <w:bookmarkEnd w:id="56"/>
    <w:bookmarkStart w:name="z70" w:id="57"/>
    <w:p>
      <w:pPr>
        <w:spacing w:after="0"/>
        <w:ind w:left="0"/>
        <w:jc w:val="both"/>
      </w:pPr>
      <w:r>
        <w:rPr>
          <w:rFonts w:ascii="Times New Roman"/>
          <w:b w:val="false"/>
          <w:i w:val="false"/>
          <w:color w:val="000000"/>
          <w:sz w:val="28"/>
        </w:rPr>
        <w:t xml:space="preserve">
      2) бизнес-план проекта по структуре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7"/>
    <w:bookmarkStart w:name="z71" w:id="58"/>
    <w:p>
      <w:pPr>
        <w:spacing w:after="0"/>
        <w:ind w:left="0"/>
        <w:jc w:val="both"/>
      </w:pPr>
      <w:r>
        <w:rPr>
          <w:rFonts w:ascii="Times New Roman"/>
          <w:b w:val="false"/>
          <w:i w:val="false"/>
          <w:color w:val="000000"/>
          <w:sz w:val="28"/>
        </w:rPr>
        <w:t>
      3) финансовая отчетность за последние 3 года (лица, для которых обязательно проведение ежегодного аудита финансовой отчетности представляют также аудиторские отчеты за указанный период времени);</w:t>
      </w:r>
    </w:p>
    <w:bookmarkEnd w:id="58"/>
    <w:bookmarkStart w:name="z72" w:id="59"/>
    <w:p>
      <w:pPr>
        <w:spacing w:after="0"/>
        <w:ind w:left="0"/>
        <w:jc w:val="both"/>
      </w:pPr>
      <w:r>
        <w:rPr>
          <w:rFonts w:ascii="Times New Roman"/>
          <w:b w:val="false"/>
          <w:i w:val="false"/>
          <w:color w:val="000000"/>
          <w:sz w:val="28"/>
        </w:rPr>
        <w:t>
      4) документы, подтверждающие наличие средств для реализации проекта (включая справки с банков второго уровня и выписки со счетов) или решение банка второго уровня предоставить кредит/кредитную линию;</w:t>
      </w:r>
    </w:p>
    <w:bookmarkEnd w:id="59"/>
    <w:bookmarkStart w:name="z73" w:id="60"/>
    <w:p>
      <w:pPr>
        <w:spacing w:after="0"/>
        <w:ind w:left="0"/>
        <w:jc w:val="both"/>
      </w:pPr>
      <w:r>
        <w:rPr>
          <w:rFonts w:ascii="Times New Roman"/>
          <w:b w:val="false"/>
          <w:i w:val="false"/>
          <w:color w:val="000000"/>
          <w:sz w:val="28"/>
        </w:rPr>
        <w:t>
      5) не менее трех коммерческих предложений по компонентам (мероприятиям) проекта и технические спецификации, по которым получены коммерческие предложения, за исключением оборудования, комплектующих и услуг, определенных лицензионным договором;</w:t>
      </w:r>
    </w:p>
    <w:bookmarkEnd w:id="60"/>
    <w:bookmarkStart w:name="z74" w:id="61"/>
    <w:p>
      <w:pPr>
        <w:spacing w:after="0"/>
        <w:ind w:left="0"/>
        <w:jc w:val="both"/>
      </w:pPr>
      <w:r>
        <w:rPr>
          <w:rFonts w:ascii="Times New Roman"/>
          <w:b w:val="false"/>
          <w:i w:val="false"/>
          <w:color w:val="000000"/>
          <w:sz w:val="28"/>
        </w:rPr>
        <w:t>
      6) финансовая модель за последние 12 (двенадцать) месяцев. При наличии План развития (в формате Excel);</w:t>
      </w:r>
    </w:p>
    <w:bookmarkEnd w:id="61"/>
    <w:bookmarkStart w:name="z75" w:id="62"/>
    <w:p>
      <w:pPr>
        <w:spacing w:after="0"/>
        <w:ind w:left="0"/>
        <w:jc w:val="both"/>
      </w:pPr>
      <w:r>
        <w:rPr>
          <w:rFonts w:ascii="Times New Roman"/>
          <w:b w:val="false"/>
          <w:i w:val="false"/>
          <w:color w:val="000000"/>
          <w:sz w:val="28"/>
        </w:rPr>
        <w:t>
      7) финансовая модель на 5 (пять) лет с учетом прогнозов по реализации (в формате Excel);</w:t>
      </w:r>
    </w:p>
    <w:bookmarkEnd w:id="62"/>
    <w:bookmarkStart w:name="z76" w:id="63"/>
    <w:p>
      <w:pPr>
        <w:spacing w:after="0"/>
        <w:ind w:left="0"/>
        <w:jc w:val="both"/>
      </w:pPr>
      <w:r>
        <w:rPr>
          <w:rFonts w:ascii="Times New Roman"/>
          <w:b w:val="false"/>
          <w:i w:val="false"/>
          <w:color w:val="000000"/>
          <w:sz w:val="28"/>
        </w:rPr>
        <w:t>
      8) список аффилированных лиц заявителя.</w:t>
      </w:r>
    </w:p>
    <w:bookmarkEnd w:id="63"/>
    <w:bookmarkStart w:name="z77" w:id="64"/>
    <w:p>
      <w:pPr>
        <w:spacing w:after="0"/>
        <w:ind w:left="0"/>
        <w:jc w:val="both"/>
      </w:pPr>
      <w:r>
        <w:rPr>
          <w:rFonts w:ascii="Times New Roman"/>
          <w:b w:val="false"/>
          <w:i w:val="false"/>
          <w:color w:val="000000"/>
          <w:sz w:val="28"/>
        </w:rPr>
        <w:t>
      При предоставлении заявителем неполного пакета документов и (или) документов с истекшим сроком действия, указанных в настоящем пункте Правил, национальный институт отказывает в приеме заявки.";</w:t>
      </w:r>
    </w:p>
    <w:bookmarkEnd w:id="64"/>
    <w:bookmarkStart w:name="z78" w:id="65"/>
    <w:p>
      <w:pPr>
        <w:spacing w:after="0"/>
        <w:ind w:left="0"/>
        <w:jc w:val="both"/>
      </w:pPr>
      <w:r>
        <w:rPr>
          <w:rFonts w:ascii="Times New Roman"/>
          <w:b w:val="false"/>
          <w:i w:val="false"/>
          <w:color w:val="000000"/>
          <w:sz w:val="28"/>
        </w:rPr>
        <w:t>
      дополнить пунктом 24 следующего содержания:</w:t>
      </w:r>
    </w:p>
    <w:bookmarkEnd w:id="65"/>
    <w:bookmarkStart w:name="z79" w:id="66"/>
    <w:p>
      <w:pPr>
        <w:spacing w:after="0"/>
        <w:ind w:left="0"/>
        <w:jc w:val="both"/>
      </w:pPr>
      <w:r>
        <w:rPr>
          <w:rFonts w:ascii="Times New Roman"/>
          <w:b w:val="false"/>
          <w:i w:val="false"/>
          <w:color w:val="000000"/>
          <w:sz w:val="28"/>
        </w:rPr>
        <w:t>
      "24. Регистрация лицензионного договора, договора о передаче исключительных прав (уступка) в уполномоченном органе Республики Казахстан в области интеллектуальной собственности проводится до завершения проекта.";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 приложения 3 к указанным Правилам изложить в следующей редакции:</w:t>
      </w:r>
    </w:p>
    <w:bookmarkStart w:name="z81" w:id="67"/>
    <w:p>
      <w:pPr>
        <w:spacing w:after="0"/>
        <w:ind w:left="0"/>
        <w:jc w:val="both"/>
      </w:pPr>
      <w:r>
        <w:rPr>
          <w:rFonts w:ascii="Times New Roman"/>
          <w:b w:val="false"/>
          <w:i w:val="false"/>
          <w:color w:val="000000"/>
          <w:sz w:val="28"/>
        </w:rPr>
        <w:t>
      "6) опыт работы в отрасли;".</w:t>
      </w:r>
    </w:p>
    <w:bookmarkEnd w:id="67"/>
    <w:bookmarkStart w:name="z82" w:id="68"/>
    <w:p>
      <w:pPr>
        <w:spacing w:after="0"/>
        <w:ind w:left="0"/>
        <w:jc w:val="both"/>
      </w:pPr>
      <w:r>
        <w:rPr>
          <w:rFonts w:ascii="Times New Roman"/>
          <w:b w:val="false"/>
          <w:i w:val="false"/>
          <w:color w:val="000000"/>
          <w:sz w:val="28"/>
        </w:rPr>
        <w:t>
      2. Департаменту развития инноваций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68"/>
    <w:bookmarkStart w:name="z83" w:id="6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9"/>
    <w:bookmarkStart w:name="z84" w:id="70"/>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70"/>
    <w:bookmarkStart w:name="z85" w:id="7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71"/>
    <w:bookmarkStart w:name="z86" w:id="7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72"/>
    <w:bookmarkStart w:name="z87" w:id="7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89" w:id="74"/>
      <w:r>
        <w:rPr>
          <w:rFonts w:ascii="Times New Roman"/>
          <w:b w:val="false"/>
          <w:i w:val="false"/>
          <w:color w:val="000000"/>
          <w:sz w:val="28"/>
        </w:rPr>
        <w:t>
      "СОГЛАСОВАН"</w:t>
      </w:r>
    </w:p>
    <w:bookmarkEnd w:id="74"/>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0" w:id="75"/>
      <w:r>
        <w:rPr>
          <w:rFonts w:ascii="Times New Roman"/>
          <w:b w:val="false"/>
          <w:i w:val="false"/>
          <w:color w:val="000000"/>
          <w:sz w:val="28"/>
        </w:rPr>
        <w:t>
      "СОГЛАСОВАН"</w:t>
      </w:r>
    </w:p>
    <w:bookmarkEnd w:id="7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1" w:id="76"/>
      <w:r>
        <w:rPr>
          <w:rFonts w:ascii="Times New Roman"/>
          <w:b w:val="false"/>
          <w:i w:val="false"/>
          <w:color w:val="000000"/>
          <w:sz w:val="28"/>
        </w:rPr>
        <w:t>
      "СОГЛАСОВАН"</w:t>
      </w:r>
    </w:p>
    <w:bookmarkEnd w:id="7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107/НҚ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инновационных грантов</w:t>
            </w:r>
            <w:r>
              <w:br/>
            </w:r>
            <w:r>
              <w:rPr>
                <w:rFonts w:ascii="Times New Roman"/>
                <w:b w:val="false"/>
                <w:i w:val="false"/>
                <w:color w:val="000000"/>
                <w:sz w:val="20"/>
              </w:rPr>
              <w:t>на технологическое развитие</w:t>
            </w:r>
            <w:r>
              <w:br/>
            </w:r>
            <w:r>
              <w:rPr>
                <w:rFonts w:ascii="Times New Roman"/>
                <w:b w:val="false"/>
                <w:i w:val="false"/>
                <w:color w:val="000000"/>
                <w:sz w:val="20"/>
              </w:rPr>
              <w:t>действующих предприятий</w:t>
            </w:r>
          </w:p>
        </w:tc>
      </w:tr>
    </w:tbl>
    <w:bookmarkStart w:name="z94" w:id="77"/>
    <w:p>
      <w:pPr>
        <w:spacing w:after="0"/>
        <w:ind w:left="0"/>
        <w:jc w:val="left"/>
      </w:pPr>
      <w:r>
        <w:rPr>
          <w:rFonts w:ascii="Times New Roman"/>
          <w:b/>
          <w:i w:val="false"/>
          <w:color w:val="000000"/>
        </w:rPr>
        <w:t xml:space="preserve"> Требования к процедуре проведения экспертиз</w:t>
      </w:r>
    </w:p>
    <w:bookmarkEnd w:id="77"/>
    <w:bookmarkStart w:name="z95" w:id="78"/>
    <w:p>
      <w:pPr>
        <w:spacing w:after="0"/>
        <w:ind w:left="0"/>
        <w:jc w:val="both"/>
      </w:pPr>
      <w:r>
        <w:rPr>
          <w:rFonts w:ascii="Times New Roman"/>
          <w:b w:val="false"/>
          <w:i w:val="false"/>
          <w:color w:val="000000"/>
          <w:sz w:val="28"/>
        </w:rPr>
        <w:t>
      1. Проведение экспертиз проектов осуществляется национальным институтом, в случае необходимости привлекаются отечественные и (или) зарубежные физические и (или) юридические лица.</w:t>
      </w:r>
    </w:p>
    <w:bookmarkEnd w:id="78"/>
    <w:bookmarkStart w:name="z96" w:id="79"/>
    <w:p>
      <w:pPr>
        <w:spacing w:after="0"/>
        <w:ind w:left="0"/>
        <w:jc w:val="both"/>
      </w:pPr>
      <w:r>
        <w:rPr>
          <w:rFonts w:ascii="Times New Roman"/>
          <w:b w:val="false"/>
          <w:i w:val="false"/>
          <w:color w:val="000000"/>
          <w:sz w:val="28"/>
        </w:rPr>
        <w:t>
      2. Критерии оценки проектов выстроены следующим образом:</w:t>
      </w:r>
    </w:p>
    <w:bookmarkEnd w:id="79"/>
    <w:bookmarkStart w:name="z97" w:id="80"/>
    <w:p>
      <w:pPr>
        <w:spacing w:after="0"/>
        <w:ind w:left="0"/>
        <w:jc w:val="both"/>
      </w:pPr>
      <w:r>
        <w:rPr>
          <w:rFonts w:ascii="Times New Roman"/>
          <w:b w:val="false"/>
          <w:i w:val="false"/>
          <w:color w:val="000000"/>
          <w:sz w:val="28"/>
        </w:rPr>
        <w:t>
      1) научные технические преимущества:</w:t>
      </w:r>
    </w:p>
    <w:bookmarkEnd w:id="80"/>
    <w:bookmarkStart w:name="z98" w:id="81"/>
    <w:p>
      <w:pPr>
        <w:spacing w:after="0"/>
        <w:ind w:left="0"/>
        <w:jc w:val="both"/>
      </w:pPr>
      <w:r>
        <w:rPr>
          <w:rFonts w:ascii="Times New Roman"/>
          <w:b w:val="false"/>
          <w:i w:val="false"/>
          <w:color w:val="000000"/>
          <w:sz w:val="28"/>
        </w:rPr>
        <w:t>
      степень обращения к системным проблемам: количество компаний, использующих внедряемую технологию, масштабируемость и индустрия/размер рынка для потенциального применения;</w:t>
      </w:r>
    </w:p>
    <w:bookmarkEnd w:id="81"/>
    <w:bookmarkStart w:name="z99" w:id="82"/>
    <w:p>
      <w:pPr>
        <w:spacing w:after="0"/>
        <w:ind w:left="0"/>
        <w:jc w:val="both"/>
      </w:pPr>
      <w:r>
        <w:rPr>
          <w:rFonts w:ascii="Times New Roman"/>
          <w:b w:val="false"/>
          <w:i w:val="false"/>
          <w:color w:val="000000"/>
          <w:sz w:val="28"/>
        </w:rPr>
        <w:t>
      инновационность;</w:t>
      </w:r>
    </w:p>
    <w:bookmarkEnd w:id="82"/>
    <w:bookmarkStart w:name="z100" w:id="83"/>
    <w:p>
      <w:pPr>
        <w:spacing w:after="0"/>
        <w:ind w:left="0"/>
        <w:jc w:val="both"/>
      </w:pPr>
      <w:r>
        <w:rPr>
          <w:rFonts w:ascii="Times New Roman"/>
          <w:b w:val="false"/>
          <w:i w:val="false"/>
          <w:color w:val="000000"/>
          <w:sz w:val="28"/>
        </w:rPr>
        <w:t>
      интеллектуальная собственность;</w:t>
      </w:r>
    </w:p>
    <w:bookmarkEnd w:id="83"/>
    <w:bookmarkStart w:name="z101" w:id="84"/>
    <w:p>
      <w:pPr>
        <w:spacing w:after="0"/>
        <w:ind w:left="0"/>
        <w:jc w:val="both"/>
      </w:pPr>
      <w:r>
        <w:rPr>
          <w:rFonts w:ascii="Times New Roman"/>
          <w:b w:val="false"/>
          <w:i w:val="false"/>
          <w:color w:val="000000"/>
          <w:sz w:val="28"/>
        </w:rPr>
        <w:t>
      2) экономическая отдача:</w:t>
      </w:r>
    </w:p>
    <w:bookmarkEnd w:id="84"/>
    <w:bookmarkStart w:name="z102" w:id="85"/>
    <w:p>
      <w:pPr>
        <w:spacing w:after="0"/>
        <w:ind w:left="0"/>
        <w:jc w:val="both"/>
      </w:pPr>
      <w:r>
        <w:rPr>
          <w:rFonts w:ascii="Times New Roman"/>
          <w:b w:val="false"/>
          <w:i w:val="false"/>
          <w:color w:val="000000"/>
          <w:sz w:val="28"/>
        </w:rPr>
        <w:t>
      потенциальный экономический результат (на основании бизнес-плана по структуре и финансовой модели);</w:t>
      </w:r>
    </w:p>
    <w:bookmarkEnd w:id="85"/>
    <w:bookmarkStart w:name="z103" w:id="86"/>
    <w:p>
      <w:pPr>
        <w:spacing w:after="0"/>
        <w:ind w:left="0"/>
        <w:jc w:val="both"/>
      </w:pPr>
      <w:r>
        <w:rPr>
          <w:rFonts w:ascii="Times New Roman"/>
          <w:b w:val="false"/>
          <w:i w:val="false"/>
          <w:color w:val="000000"/>
          <w:sz w:val="28"/>
        </w:rPr>
        <w:t>
      3) возможности, ресурсы и материальная база заявителя:</w:t>
      </w:r>
    </w:p>
    <w:bookmarkEnd w:id="86"/>
    <w:bookmarkStart w:name="z104" w:id="87"/>
    <w:p>
      <w:pPr>
        <w:spacing w:after="0"/>
        <w:ind w:left="0"/>
        <w:jc w:val="both"/>
      </w:pPr>
      <w:r>
        <w:rPr>
          <w:rFonts w:ascii="Times New Roman"/>
          <w:b w:val="false"/>
          <w:i w:val="false"/>
          <w:color w:val="000000"/>
          <w:sz w:val="28"/>
        </w:rPr>
        <w:t>
      квалификация и управленческие способности персонала;</w:t>
      </w:r>
    </w:p>
    <w:bookmarkEnd w:id="87"/>
    <w:bookmarkStart w:name="z105" w:id="88"/>
    <w:p>
      <w:pPr>
        <w:spacing w:after="0"/>
        <w:ind w:left="0"/>
        <w:jc w:val="both"/>
      </w:pPr>
      <w:r>
        <w:rPr>
          <w:rFonts w:ascii="Times New Roman"/>
          <w:b w:val="false"/>
          <w:i w:val="false"/>
          <w:color w:val="000000"/>
          <w:sz w:val="28"/>
        </w:rPr>
        <w:t>
      значительные исследовательские работы;</w:t>
      </w:r>
    </w:p>
    <w:bookmarkEnd w:id="88"/>
    <w:bookmarkStart w:name="z106" w:id="89"/>
    <w:p>
      <w:pPr>
        <w:spacing w:after="0"/>
        <w:ind w:left="0"/>
        <w:jc w:val="both"/>
      </w:pPr>
      <w:r>
        <w:rPr>
          <w:rFonts w:ascii="Times New Roman"/>
          <w:b w:val="false"/>
          <w:i w:val="false"/>
          <w:color w:val="000000"/>
          <w:sz w:val="28"/>
        </w:rPr>
        <w:t>
      интеллектуальная собственность (патенты, авторские права и свидетельства);</w:t>
      </w:r>
    </w:p>
    <w:bookmarkEnd w:id="89"/>
    <w:bookmarkStart w:name="z107" w:id="90"/>
    <w:p>
      <w:pPr>
        <w:spacing w:after="0"/>
        <w:ind w:left="0"/>
        <w:jc w:val="both"/>
      </w:pPr>
      <w:r>
        <w:rPr>
          <w:rFonts w:ascii="Times New Roman"/>
          <w:b w:val="false"/>
          <w:i w:val="false"/>
          <w:color w:val="000000"/>
          <w:sz w:val="28"/>
        </w:rPr>
        <w:t>
      технологии, запущенные в серийное производство;</w:t>
      </w:r>
    </w:p>
    <w:bookmarkEnd w:id="90"/>
    <w:bookmarkStart w:name="z108" w:id="91"/>
    <w:p>
      <w:pPr>
        <w:spacing w:after="0"/>
        <w:ind w:left="0"/>
        <w:jc w:val="both"/>
      </w:pPr>
      <w:r>
        <w:rPr>
          <w:rFonts w:ascii="Times New Roman"/>
          <w:b w:val="false"/>
          <w:i w:val="false"/>
          <w:color w:val="000000"/>
          <w:sz w:val="28"/>
        </w:rPr>
        <w:t>
      разработанные промышленные процессы и продукты;</w:t>
      </w:r>
    </w:p>
    <w:bookmarkEnd w:id="91"/>
    <w:bookmarkStart w:name="z109" w:id="92"/>
    <w:p>
      <w:pPr>
        <w:spacing w:after="0"/>
        <w:ind w:left="0"/>
        <w:jc w:val="both"/>
      </w:pPr>
      <w:r>
        <w:rPr>
          <w:rFonts w:ascii="Times New Roman"/>
          <w:b w:val="false"/>
          <w:i w:val="false"/>
          <w:color w:val="000000"/>
          <w:sz w:val="28"/>
        </w:rPr>
        <w:t>
      опыт управления проектами, схожими по природе, цели и объему;</w:t>
      </w:r>
    </w:p>
    <w:bookmarkEnd w:id="92"/>
    <w:bookmarkStart w:name="z110" w:id="93"/>
    <w:p>
      <w:pPr>
        <w:spacing w:after="0"/>
        <w:ind w:left="0"/>
        <w:jc w:val="both"/>
      </w:pPr>
      <w:r>
        <w:rPr>
          <w:rFonts w:ascii="Times New Roman"/>
          <w:b w:val="false"/>
          <w:i w:val="false"/>
          <w:color w:val="000000"/>
          <w:sz w:val="28"/>
        </w:rPr>
        <w:t>
      ресурсы и материальная база;</w:t>
      </w:r>
    </w:p>
    <w:bookmarkEnd w:id="93"/>
    <w:bookmarkStart w:name="z111" w:id="94"/>
    <w:p>
      <w:pPr>
        <w:spacing w:after="0"/>
        <w:ind w:left="0"/>
        <w:jc w:val="both"/>
      </w:pPr>
      <w:r>
        <w:rPr>
          <w:rFonts w:ascii="Times New Roman"/>
          <w:b w:val="false"/>
          <w:i w:val="false"/>
          <w:color w:val="000000"/>
          <w:sz w:val="28"/>
        </w:rPr>
        <w:t>
      международные партнеры, ресурсы и предприятия;</w:t>
      </w:r>
    </w:p>
    <w:bookmarkEnd w:id="94"/>
    <w:bookmarkStart w:name="z112" w:id="95"/>
    <w:p>
      <w:pPr>
        <w:spacing w:after="0"/>
        <w:ind w:left="0"/>
        <w:jc w:val="both"/>
      </w:pPr>
      <w:r>
        <w:rPr>
          <w:rFonts w:ascii="Times New Roman"/>
          <w:b w:val="false"/>
          <w:i w:val="false"/>
          <w:color w:val="000000"/>
          <w:sz w:val="28"/>
        </w:rPr>
        <w:t>
      4) критерий технологичности производственных процессов заявителя:</w:t>
      </w:r>
    </w:p>
    <w:bookmarkEnd w:id="95"/>
    <w:bookmarkStart w:name="z113" w:id="96"/>
    <w:p>
      <w:pPr>
        <w:spacing w:after="0"/>
        <w:ind w:left="0"/>
        <w:jc w:val="both"/>
      </w:pPr>
      <w:r>
        <w:rPr>
          <w:rFonts w:ascii="Times New Roman"/>
          <w:b w:val="false"/>
          <w:i w:val="false"/>
          <w:color w:val="000000"/>
          <w:sz w:val="28"/>
        </w:rPr>
        <w:t>
      высокотехнологичные;</w:t>
      </w:r>
    </w:p>
    <w:bookmarkEnd w:id="96"/>
    <w:bookmarkStart w:name="z114" w:id="97"/>
    <w:p>
      <w:pPr>
        <w:spacing w:after="0"/>
        <w:ind w:left="0"/>
        <w:jc w:val="both"/>
      </w:pPr>
      <w:r>
        <w:rPr>
          <w:rFonts w:ascii="Times New Roman"/>
          <w:b w:val="false"/>
          <w:i w:val="false"/>
          <w:color w:val="000000"/>
          <w:sz w:val="28"/>
        </w:rPr>
        <w:t>
      среднетехнологичные высокого уровня;</w:t>
      </w:r>
    </w:p>
    <w:bookmarkEnd w:id="97"/>
    <w:bookmarkStart w:name="z115" w:id="98"/>
    <w:p>
      <w:pPr>
        <w:spacing w:after="0"/>
        <w:ind w:left="0"/>
        <w:jc w:val="both"/>
      </w:pPr>
      <w:r>
        <w:rPr>
          <w:rFonts w:ascii="Times New Roman"/>
          <w:b w:val="false"/>
          <w:i w:val="false"/>
          <w:color w:val="000000"/>
          <w:sz w:val="28"/>
        </w:rPr>
        <w:t>
      среднетехнологичные низкого уровня;</w:t>
      </w:r>
    </w:p>
    <w:bookmarkEnd w:id="98"/>
    <w:bookmarkStart w:name="z116" w:id="99"/>
    <w:p>
      <w:pPr>
        <w:spacing w:after="0"/>
        <w:ind w:left="0"/>
        <w:jc w:val="both"/>
      </w:pPr>
      <w:r>
        <w:rPr>
          <w:rFonts w:ascii="Times New Roman"/>
          <w:b w:val="false"/>
          <w:i w:val="false"/>
          <w:color w:val="000000"/>
          <w:sz w:val="28"/>
        </w:rPr>
        <w:t>
      низкотехнологичные;</w:t>
      </w:r>
    </w:p>
    <w:bookmarkEnd w:id="99"/>
    <w:bookmarkStart w:name="z117" w:id="100"/>
    <w:p>
      <w:pPr>
        <w:spacing w:after="0"/>
        <w:ind w:left="0"/>
        <w:jc w:val="both"/>
      </w:pPr>
      <w:r>
        <w:rPr>
          <w:rFonts w:ascii="Times New Roman"/>
          <w:b w:val="false"/>
          <w:i w:val="false"/>
          <w:color w:val="000000"/>
          <w:sz w:val="28"/>
        </w:rPr>
        <w:t>
      5) Правовые аспекты реализации проекта:</w:t>
      </w:r>
    </w:p>
    <w:bookmarkEnd w:id="100"/>
    <w:bookmarkStart w:name="z118" w:id="101"/>
    <w:p>
      <w:pPr>
        <w:spacing w:after="0"/>
        <w:ind w:left="0"/>
        <w:jc w:val="both"/>
      </w:pPr>
      <w:r>
        <w:rPr>
          <w:rFonts w:ascii="Times New Roman"/>
          <w:b w:val="false"/>
          <w:i w:val="false"/>
          <w:color w:val="000000"/>
          <w:sz w:val="28"/>
        </w:rPr>
        <w:t>
      особые условия реализации и ограничения по проекту;</w:t>
      </w:r>
    </w:p>
    <w:bookmarkEnd w:id="101"/>
    <w:bookmarkStart w:name="z119" w:id="102"/>
    <w:p>
      <w:pPr>
        <w:spacing w:after="0"/>
        <w:ind w:left="0"/>
        <w:jc w:val="both"/>
      </w:pPr>
      <w:r>
        <w:rPr>
          <w:rFonts w:ascii="Times New Roman"/>
          <w:b w:val="false"/>
          <w:i w:val="false"/>
          <w:color w:val="000000"/>
          <w:sz w:val="28"/>
        </w:rPr>
        <w:t>
      правовые риски (налоговые задолженности, судебные разбирательства, аффилированность, нахождение в ограничивающих деятельность юридического лица реестрах, утвержденных уполномоченными государственными органами и т.д.);</w:t>
      </w:r>
    </w:p>
    <w:bookmarkEnd w:id="102"/>
    <w:bookmarkStart w:name="z120" w:id="103"/>
    <w:p>
      <w:pPr>
        <w:spacing w:after="0"/>
        <w:ind w:left="0"/>
        <w:jc w:val="both"/>
      </w:pPr>
      <w:r>
        <w:rPr>
          <w:rFonts w:ascii="Times New Roman"/>
          <w:b w:val="false"/>
          <w:i w:val="false"/>
          <w:color w:val="000000"/>
          <w:sz w:val="28"/>
        </w:rPr>
        <w:t>
      6) текущее финансовое состояние заявителя:</w:t>
      </w:r>
    </w:p>
    <w:bookmarkEnd w:id="103"/>
    <w:bookmarkStart w:name="z121" w:id="104"/>
    <w:p>
      <w:pPr>
        <w:spacing w:after="0"/>
        <w:ind w:left="0"/>
        <w:jc w:val="both"/>
      </w:pPr>
      <w:r>
        <w:rPr>
          <w:rFonts w:ascii="Times New Roman"/>
          <w:b w:val="false"/>
          <w:i w:val="false"/>
          <w:color w:val="000000"/>
          <w:sz w:val="28"/>
        </w:rPr>
        <w:t>
      уровень ликвидности активов;</w:t>
      </w:r>
    </w:p>
    <w:bookmarkEnd w:id="104"/>
    <w:bookmarkStart w:name="z122" w:id="105"/>
    <w:p>
      <w:pPr>
        <w:spacing w:after="0"/>
        <w:ind w:left="0"/>
        <w:jc w:val="both"/>
      </w:pPr>
      <w:r>
        <w:rPr>
          <w:rFonts w:ascii="Times New Roman"/>
          <w:b w:val="false"/>
          <w:i w:val="false"/>
          <w:color w:val="000000"/>
          <w:sz w:val="28"/>
        </w:rPr>
        <w:t>
      коэффициент финансовой зависимости;</w:t>
      </w:r>
    </w:p>
    <w:bookmarkEnd w:id="105"/>
    <w:bookmarkStart w:name="z123" w:id="106"/>
    <w:p>
      <w:pPr>
        <w:spacing w:after="0"/>
        <w:ind w:left="0"/>
        <w:jc w:val="both"/>
      </w:pPr>
      <w:r>
        <w:rPr>
          <w:rFonts w:ascii="Times New Roman"/>
          <w:b w:val="false"/>
          <w:i w:val="false"/>
          <w:color w:val="000000"/>
          <w:sz w:val="28"/>
        </w:rPr>
        <w:t>
      показатель возврата инвестиций (за последний отчетный год).</w:t>
      </w:r>
    </w:p>
    <w:bookmarkEnd w:id="106"/>
    <w:bookmarkStart w:name="z124" w:id="107"/>
    <w:p>
      <w:pPr>
        <w:spacing w:after="0"/>
        <w:ind w:left="0"/>
        <w:jc w:val="both"/>
      </w:pPr>
      <w:r>
        <w:rPr>
          <w:rFonts w:ascii="Times New Roman"/>
          <w:b w:val="false"/>
          <w:i w:val="false"/>
          <w:color w:val="000000"/>
          <w:sz w:val="28"/>
        </w:rPr>
        <w:t>
      Эксперты проводят экспертизу проекта по следующим направлениям:</w:t>
      </w:r>
    </w:p>
    <w:bookmarkEnd w:id="107"/>
    <w:bookmarkStart w:name="z125" w:id="108"/>
    <w:p>
      <w:pPr>
        <w:spacing w:after="0"/>
        <w:ind w:left="0"/>
        <w:jc w:val="both"/>
      </w:pPr>
      <w:r>
        <w:rPr>
          <w:rFonts w:ascii="Times New Roman"/>
          <w:b w:val="false"/>
          <w:i w:val="false"/>
          <w:color w:val="000000"/>
          <w:sz w:val="28"/>
        </w:rPr>
        <w:t>
      1) технологическая экспертиза проводится с целью установления преимуществ по сравнению с аналогами, технической реализуемости и технологической целесообразности проекта;</w:t>
      </w:r>
    </w:p>
    <w:bookmarkEnd w:id="108"/>
    <w:bookmarkStart w:name="z126" w:id="109"/>
    <w:p>
      <w:pPr>
        <w:spacing w:after="0"/>
        <w:ind w:left="0"/>
        <w:jc w:val="both"/>
      </w:pPr>
      <w:r>
        <w:rPr>
          <w:rFonts w:ascii="Times New Roman"/>
          <w:b w:val="false"/>
          <w:i w:val="false"/>
          <w:color w:val="000000"/>
          <w:sz w:val="28"/>
        </w:rPr>
        <w:t>
      2) финансово-экономическая экспертиза проводится с целью оценки рынка, экономической целесообразности проекта, критериев конкурентоспособности, маркетинговой стратегии, распределения работ заявленным срокам, объему и содержанию работ, и запрашиваемой сумме финансирования;</w:t>
      </w:r>
    </w:p>
    <w:bookmarkEnd w:id="109"/>
    <w:bookmarkStart w:name="z127" w:id="110"/>
    <w:p>
      <w:pPr>
        <w:spacing w:after="0"/>
        <w:ind w:left="0"/>
        <w:jc w:val="both"/>
      </w:pPr>
      <w:r>
        <w:rPr>
          <w:rFonts w:ascii="Times New Roman"/>
          <w:b w:val="false"/>
          <w:i w:val="false"/>
          <w:color w:val="000000"/>
          <w:sz w:val="28"/>
        </w:rPr>
        <w:t>
      3) правовая экспертиза проводится с целью всестороннего правового анализа содержания представленных документов на предмет соответствия действующему законодательству.</w:t>
      </w:r>
    </w:p>
    <w:bookmarkEnd w:id="110"/>
    <w:bookmarkStart w:name="z128" w:id="111"/>
    <w:p>
      <w:pPr>
        <w:spacing w:after="0"/>
        <w:ind w:left="0"/>
        <w:jc w:val="both"/>
      </w:pPr>
      <w:r>
        <w:rPr>
          <w:rFonts w:ascii="Times New Roman"/>
          <w:b w:val="false"/>
          <w:i w:val="false"/>
          <w:color w:val="000000"/>
          <w:sz w:val="28"/>
        </w:rPr>
        <w:t>
      Технологическая, финансово-экономическая и правовая экспертизы проводятся по проектам одновременно.</w:t>
      </w:r>
    </w:p>
    <w:bookmarkEnd w:id="111"/>
    <w:bookmarkStart w:name="z129" w:id="112"/>
    <w:p>
      <w:pPr>
        <w:spacing w:after="0"/>
        <w:ind w:left="0"/>
        <w:jc w:val="both"/>
      </w:pPr>
      <w:r>
        <w:rPr>
          <w:rFonts w:ascii="Times New Roman"/>
          <w:b w:val="false"/>
          <w:i w:val="false"/>
          <w:color w:val="000000"/>
          <w:sz w:val="28"/>
        </w:rPr>
        <w:t>
      3. Национальный институт формирует перечень внешних отечественных и зарубежных экспертов и экспертных организаций, в том числе на основании рекомендаций Национальной палаты предпринимателей Республики Казахстан "Атамекен", отраслевых ассоциаций.</w:t>
      </w:r>
    </w:p>
    <w:bookmarkEnd w:id="112"/>
    <w:bookmarkStart w:name="z130" w:id="113"/>
    <w:p>
      <w:pPr>
        <w:spacing w:after="0"/>
        <w:ind w:left="0"/>
        <w:jc w:val="both"/>
      </w:pPr>
      <w:r>
        <w:rPr>
          <w:rFonts w:ascii="Times New Roman"/>
          <w:b w:val="false"/>
          <w:i w:val="false"/>
          <w:color w:val="000000"/>
          <w:sz w:val="28"/>
        </w:rPr>
        <w:t>
      4. При привлечении экспертов для проведения экспертизы заявок с каждым экспертом национальный институт заключают договор на оказание экспертных услуг, форма которого регулируется актами национального института.</w:t>
      </w:r>
    </w:p>
    <w:bookmarkEnd w:id="113"/>
    <w:bookmarkStart w:name="z131" w:id="114"/>
    <w:p>
      <w:pPr>
        <w:spacing w:after="0"/>
        <w:ind w:left="0"/>
        <w:jc w:val="both"/>
      </w:pPr>
      <w:r>
        <w:rPr>
          <w:rFonts w:ascii="Times New Roman"/>
          <w:b w:val="false"/>
          <w:i w:val="false"/>
          <w:color w:val="000000"/>
          <w:sz w:val="28"/>
        </w:rPr>
        <w:t>
      5. Порядок проведения экспертизы и форма оценочного листа регламентируются актом национального института.</w:t>
      </w:r>
    </w:p>
    <w:bookmarkEnd w:id="114"/>
    <w:bookmarkStart w:name="z132" w:id="115"/>
    <w:p>
      <w:pPr>
        <w:spacing w:after="0"/>
        <w:ind w:left="0"/>
        <w:jc w:val="both"/>
      </w:pPr>
      <w:r>
        <w:rPr>
          <w:rFonts w:ascii="Times New Roman"/>
          <w:b w:val="false"/>
          <w:i w:val="false"/>
          <w:color w:val="000000"/>
          <w:sz w:val="28"/>
        </w:rPr>
        <w:t>
      6. Не допускается проведение оценки заявки экспертом, принимавшим непосредственное участие в ее подготовке, а также являющимся аффилированным с заявителем.</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