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23e9" w14:textId="0aa2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 "Об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23 мая 2023 года № 104/НҚ и Министра национальной экономики Республики Казахстан от 23 мая 2023 года № 76. Зарегистрирован в Министерстве юстиции Республики Казахстан 25 мая 2023 года № 32566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4 июня 2019 года № 114/НҚ и Министра национальной экономики Республики Казахстан от 6 июня 2019 года № 52 "Об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подписи" (зарегистрирован в Реестре государственной регистрации нормативных правовых актов № 18805)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совместного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104/НҚ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информатизации в отношении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лиц, субъектов квазигосударственного сектора, собственников и опера,</w:t>
      </w:r>
      <w:r>
        <w:br/>
      </w:r>
      <w:r>
        <w:rPr>
          <w:rFonts w:ascii="Times New Roman"/>
          <w:b/>
          <w:i w:val="false"/>
          <w:color w:val="000000"/>
        </w:rPr>
        <w:t>интегрируемых с информационными системами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или предназначенных для формирования государственных электронных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ресурсов, а также собственников и владельцев критически важных</w:t>
      </w:r>
      <w:r>
        <w:br/>
      </w:r>
      <w:r>
        <w:rPr>
          <w:rFonts w:ascii="Times New Roman"/>
          <w:b/>
          <w:i w:val="false"/>
          <w:color w:val="000000"/>
        </w:rPr>
        <w:t>объектов информационно-коммуникационной инфраструктуры, собственников</w:t>
      </w:r>
      <w:r>
        <w:br/>
      </w:r>
      <w:r>
        <w:rPr>
          <w:rFonts w:ascii="Times New Roman"/>
          <w:b/>
          <w:i w:val="false"/>
          <w:color w:val="000000"/>
        </w:rPr>
        <w:t>и операторов баз, содержащие персональные данные, а также третьих лиц,</w:t>
      </w:r>
      <w:r>
        <w:br/>
      </w:r>
      <w:r>
        <w:rPr>
          <w:rFonts w:ascii="Times New Roman"/>
          <w:b/>
          <w:i w:val="false"/>
          <w:color w:val="000000"/>
        </w:rPr>
        <w:t>не являющееся субъектом, собственником и (или) оператором, но связанное с ними</w:t>
      </w:r>
      <w:r>
        <w:br/>
      </w:r>
      <w:r>
        <w:rPr>
          <w:rFonts w:ascii="Times New Roman"/>
          <w:b/>
          <w:i w:val="false"/>
          <w:color w:val="000000"/>
        </w:rPr>
        <w:t>(ним) обстоятельствами или правоотношениями по сбору, обработке и защите персональных данных</w:t>
      </w:r>
    </w:p>
    <w:bookmarkEnd w:id="9"/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оригиналов технической документации на бумажных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сохранности, защиты, восстановлению электронных информационных ресурсов в случае сбоя или повреждения объектов информатизации "электронного правительства"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резервному копированию и контролю за своевременной актуализацией электронных информационных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негосударственными информационными системами, интегрирующих с информационными системами государственного органа при условии наличия акта о приемке в промышленную эксплуатацию ИС, акта с положительным результатом испытаний на соответствие требованиям информационной безопасности, экспертизы технической документации и аттестата соответствия требованиям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собственником и владельцем информационных систем требований, по защите персональных данных содержащихся в информационных системах, получивших электронные информационные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допущению использования электронных информационных ресурсов, содержащих персональные данные о физических лицах, в целях причинения имущественного и (или) морального вреда, ограничения реализации прав и свобод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 требований субъекта от собственника и (или) оператора, а также третьего лица блокирования своих персональных данных в случае нарушения условий сбора, обработки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 субъекта требований от собственника и (или) оператора, а также третьего лица уничтожения своих персональных данных, сбор и обработка которых произведены с нарушением законодательства о персональных данных и их 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обязательств предоставления доказательств о получении согласия субъекта на сбор и обработку его персональных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технического задания, согласованного с уполномоченным органом и уполномоченным органом в сфере обеспечения информационной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сроке проведения опытной эксплуатации не превышающий один год при создании и развитии объекта информатизации "электронного правительства";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104/НҚ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связи в отношении физических лиц, государственных юридических лиц, субъектов квазигосударственного сектора, операторов связи</w:t>
      </w:r>
    </w:p>
    <w:bookmarkEnd w:id="12"/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осуществлению сбора и хранения служебной информации об абонентах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соответствия технических средств связи, используемых на единой сети телекоммуникаций Республики Казахстан, радиоэлектронных средств и высокочастотных устройств, являющихся источником электромагнитного излучения, технических средств почтовой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выполнения мероприятия по мобилизационной готовности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предоставление услуг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деятельности по оказанию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о начале или прекращении эксплуатации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обеспечению органам, осуществляющим оперативно-розыскную, контрразведывательную деятельность на сетях связи, организационные и технические возможности проведения оперативно-розыскных, контрразведывательных мероприятий на всех сетях связи, а также принимать меры по недопущению раскрытия форм и методов проведения указанных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выписки из реестра государственной системы обеспечения единства измерений Республики Казахстан, копии действующих сертификатов поверки для подтверждения наличия системы учета трафика, которая должна иметь систему измерения длительности соединений и систему измерения передачи данных оператора связи, внесенную в реестр государственной системы обеспечения единства измерений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использованию оператором связи, провайдером услуги, владельцем ведомственной сети телекоммуникаций, сети телекоммуникаций специального назначения, корпоративной сети выделенного ресурса нумерации более чем на 50 процентов в течение двух лет с момента выделения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использованию получателем ресурса нумерации (коды "DEF" и индексы "X1", "X1X2" в коде "DEF" не географически определяемых зон нумерации, коды операторов (Х1Х2Х3/(X1X2X3X4), предоставляющих услуги связи с использованием кодов доступа к услуге; номера доступа "1UV (X1(X2))" к экстренным оперативным, информационно-справочным и заказным службам; префиксы выбора операторов междугородной и (или) международной связи более чем 6 месяцев в течение двух лет с момента выделения (по результатам проверки, осуществляемой уполномоченным органом)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содержанию наземных сегментов и коммутационных узлов, центр управления которыми расположен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резервированию транспортных сетей путем предоставления независимых обходных путей, организуемых по независимым географическим трассам, или замены на тракты (каналы), организуемые в тех же линиях 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транспортных сетей телекоммуникаций (магистральных и внутризоновых линий связи)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транспортных сетях телекоммуникаций оператора междугородной и (или) международной связи сетевых узлов, которые имеют не менее трех выходов (трех направлений) передачи (два в направлении своей сети и один в направлении сети другой страны) для организации международных соединений со сетью телекоммуникаций общего пользования других стран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не менее одной точки стыковки транспортной сети с сетями телекоммуникаций операторов связи зарубежных стран по наземным линиям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самостоятельном создании (развитии) оператором междугородной и (или) международной связи сетей, обеспечивающих универсальные услуги телекоммуникаций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сети телекоммуникаций оператора междугородной и (или) международной связи системы тактовой сетевой синхронизации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в составе сети телекоммуникаций оператора междугородной и (или) международной связи коммутационных междугородных и международных станций на момент присвоения ему статуса оператора междугородной и (или)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сети телекоммуникаций оператора междугородной и (или) международной связи систем обеспечения функционирования – системы управления и системы технической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охвате сетями телекоммуникаций оператора междугородной и (или) международной связи территории не менее шести областей (географических зон нумерации), городов Астаны и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связи международных центров коммутации оператора междугородной и (или) международной связи не менее чем с двумя международными центрами коммутации других операторов междугородной и (или) международной связи, а все автоматические междугородные телефонные станции должны быть связаны не менее чем с двумя международными центрами коммутации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списка квалифицированного состава технических руководителей и специалистов, имеющих соответствующее образование и опыт практической работы по специальности не менее трех лет, копии дипломов, приказов о принятии на работу, копии трудовых книжек или трудовых договоров, свидетельства или сертификаты о прохождении курсов по подготовке и повышению квалификации в области связи для подтверждения квалифицированного состава технических руководителей и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копии учредительных документов заявителя и реестра держателей ценных бумаг (участников товарищества) для подтверждения информации по распределению пакетов акций (долей участия в уставном капитале) между акционерами (участниками)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соответствии технических характеристик и условий эксплуатации радиоэлектронных средств и высокочастотных устройств требованиям, изложенных в разрешении на использование радиочастотного спектра Республики Казахстан и уведомлении о начале или прекращении эксплуатации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обязанностей по предоставлению пользователям услуги связи, соответствующих по качеству стандартам, техническим нормам, условиям договора на предоставление услуг связи, показателям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операторами связи предоставления абонентам бесплатных соединений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уведомлении оператором связи абонента до начала тарифицируемого соединения о стоимости данного соединения при оказании интеллектуальных услуг (лотерея, голосование, телевикторина, викторина, справочно-информационные службы, службы знакомств)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созданию системы информационно-справочного обслуживания в целях предоставления абонентам информации, связанной с оказанием услуг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автоматического учета информации о полученных абонентом услугах сотовой связи в сети оператора связи, времени пользования ими, соединениях с номерами телефонов абонентов других сетей аналогичного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установлению лимита по пересылке абонентам в ночное время (с 22:00 часов до 06:00) информации (рассылок рекламного характера) посредством коротких текстовых сообщений и/или мультимедийных сообщений, не запрошенной ранее абонентом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навязывания оператором связи абоненту иных платных услуг при оказании ему услуг телефонной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принятию в течение трех календарных дней со дня подачи абонентом заявления об ухудшении качества услуг телефонной связи необходимых мер по восстановлению качества и произведению перерасчета абонентской 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произведению перерасчета абонентской платы за период фактического бездействия абонентского устройства ввиду отсутствия связи по вине оператора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информированию абонента об авариях на телефонных сетях и о предполагаемых сроках устранения этих аварий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извещению абонента за 30 календарных дней о замене абонентского номера и (или) об отключении терминала с указанием причин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изменении условий тарифа на услуги связи с согласия абонента, известив его об этом не позднее, чем за 30 календарных дней до введения их в действие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возобновлению доступа к услугам связи, отключенным за несвоевременную оплату, в течение двадцати четырех часов с момента погашения задолженности (с момента получения подтверждения оплаты от абонента или представления абонентом документов, подтверждающих ликвидацию задолженности по оплате услуг связи для операторов сотовой связи и услуг доступа к Интернету)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ограничения оператором связи прав абонента/пользователя при оказании ему услуг связи в случае неисполнения им условий получения иной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публичного договора об оказании услуг связи между оператором связи и абонентом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реестра идентификационных кодов абонентских устройств, работающих в их сети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приостановлению либо возобновлению по идентификационному коду работу абонентского устройства в своей сети по заявлению собственника абонентского устройства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информированию абонентов о профилактическом обслуживании оборудования связи, связанном с его частичным или полным отключением, и о сроках проведения таких работ за три календарных дня до начала данных работ (для сотовых операторов)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возможности проверки баланса денег на текущем счете в круглосуточном режиме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возвращению абоненту излишне уплаченных денежных средств за оказанные услуги связи или засчитывает их при согласии абонента в качестве авансирования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отказа оператора связи от заключения договора об оказании услуг связи при наличии технической возможности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бесплатной замене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с предварительным уведомлением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кредитного способа оплаты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авансового способа оплаты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отказа доминирующего оператора связи от заключения договора присоединения либо установление доминирующим оператором связи заведомо ограничительных условий на присоединение или прокладку линий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присоединения сетей телекоммуникаций к сети телекоммуникаций общего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операторами связи уровней присоединения сетей телекоммуникаций, включая пропуск трафика и порядок взаиморасчетов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электронного журнала учета пользователей, содержащий фамилию, имя и отчество (при его наличии) пользователя, время начала и окончания работы в Интернете, номер компьютера владельца на котором работал пользователь (в случаях отсутствия в населенных пунктах сотовой связи)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не предоставлении оператором связи доступа к информации, запрещенной вступившим в законную силу решением суда или законами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подмены сетевых адресов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оператором связи и (или) владельцем сети связи услуг связи, а равно распространения представителем оператора связи абонентских номеров без заключения соответствующего договора об оказании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сотовой связи обязательств по обеспечению услугами связи населенных пунктов и (или) территорий, указанных в разрешении на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радиочастотного спектра в течение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оператором сотовой связи обязанности по обеспечению переноса абонентских номеров в сетях сотовой связи и их сроков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подтверждающего уплату в государственный бюджет платы за использование радиочастотного спектра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 допустимости передачи права во временное или постоянное использование присвоенных им полос частот, радиочастот (радиочастотных каналов) другим физическим или юридическим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оператором почты по размещению почтовых ящиков и осуществление выемки почтовых отправлений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почтовых ящиках логотипа оператора почты, присвоенного номера, частота и время выемки корреспонденции (начало первой и последней выемки)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почтовых ящиках в сельской местности логотипа оператора почты, присвоенный номер, время выемки, а также дни, когда выемка не осуществляется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у входа в производственные объекты оператора почты вывески с указанием наименования производственного объекта и режима работы, в том числе размещенного объявления в производственных объектах, расположенных в городах и работающих по скользящему графику, с обеденным перерывом или с выходным днем о местонахождении и режиме работы ближайшего производственного объекта, предоставляющего услуги по другому графику или без выходных дней с текстом вывески и объявления на казахском и русском языках.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наличии на видном и доступном для пользователей услуг оператора почты информационного материала в операционном зале производственного объекта оператора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производственных объектов оператора почты собственными именными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операторами почты требований по использованию на почтовых сетях технических средств и оборудований, позволяющих выявить запрещенные предметы и вещества в почтовых отправлениях без их вскрытия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(соблюдение обязанностей по обеспечению органам, осуществляющим оперативно-розыскную, контрразведывательную деятельность на сетях связи, доступа к служебной информации об абонентах, а также принятию мер по недопущению раскрытия форм и методов проведения оперативно-розыскных, контрразведывательных мероприятий) проверочного листа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(соблюдение обязанностей по обеспечению функций своего телекоммуникационного оборудования для технического проведения оперативно-розыскных, контрразведывательных мероприятий в соответствии с требованиями к сетям и средствам связи) проверочного листа в области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абонентами порядка эксплуатации усилителей сигнала сотовой связи (репитеров, активных ретрансляторов) в сетях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104/НҚ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114/НҚ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52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электронном документе и электронной цифровой подписи в отношении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юридических лиц, субъектов квазигосударственного сектора,</w:t>
      </w:r>
      <w:r>
        <w:br/>
      </w:r>
      <w:r>
        <w:rPr>
          <w:rFonts w:ascii="Times New Roman"/>
          <w:b/>
          <w:i w:val="false"/>
          <w:color w:val="000000"/>
        </w:rPr>
        <w:t>собственников и опера, интегрируемых с информационными системами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или предназначенных для формирования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информационных ресурсов, а также собственников и владельцев</w:t>
      </w:r>
      <w:r>
        <w:br/>
      </w:r>
      <w:r>
        <w:rPr>
          <w:rFonts w:ascii="Times New Roman"/>
          <w:b/>
          <w:i w:val="false"/>
          <w:color w:val="000000"/>
        </w:rPr>
        <w:t>критически важных объектов информационно-коммуникационной инфраструктуры</w:t>
      </w:r>
    </w:p>
    <w:bookmarkEnd w:id="15"/>
    <w:p>
      <w:pPr>
        <w:spacing w:after="0"/>
        <w:ind w:left="0"/>
        <w:jc w:val="both"/>
      </w:pPr>
      <w:bookmarkStart w:name="z30" w:id="1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отказов в принятии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удостоверяющим центром защиты сведений о владельцах регистрационных свидетельств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использования, а также по хранению открытых ключей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по передаче закрытого ключа электронной цифровой подписи другим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1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