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398f" w14:textId="5233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мая 2023 года № 79. Зарегистрирован в Министерстве юстиции Республики Казахстан 26 мая 2023 года № 32587.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203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1"/>
    <w:bookmarkStart w:name="z6" w:id="2"/>
    <w:p>
      <w:pPr>
        <w:spacing w:after="0"/>
        <w:ind w:left="0"/>
        <w:jc w:val="both"/>
      </w:pPr>
      <w:r>
        <w:rPr>
          <w:rFonts w:ascii="Times New Roman"/>
          <w:b w:val="false"/>
          <w:i w:val="false"/>
          <w:color w:val="000000"/>
          <w:sz w:val="28"/>
        </w:rPr>
        <w:t>
      2.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2023 года № 79</w:t>
            </w:r>
          </w:p>
        </w:tc>
      </w:tr>
    </w:tbl>
    <w:bookmarkStart w:name="z12" w:id="6"/>
    <w:p>
      <w:pPr>
        <w:spacing w:after="0"/>
        <w:ind w:left="0"/>
        <w:jc w:val="left"/>
      </w:pPr>
      <w:r>
        <w:rPr>
          <w:rFonts w:ascii="Times New Roman"/>
          <w:b/>
          <w:i w:val="false"/>
          <w:color w:val="000000"/>
        </w:rPr>
        <w:t xml:space="preserve">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Бюджетный кодекс) и определяют порядок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w:t>
      </w:r>
    </w:p>
    <w:bookmarkEnd w:id="8"/>
    <w:bookmarkStart w:name="z15" w:id="9"/>
    <w:p>
      <w:pPr>
        <w:spacing w:after="0"/>
        <w:ind w:left="0"/>
        <w:jc w:val="both"/>
      </w:pPr>
      <w:r>
        <w:rPr>
          <w:rFonts w:ascii="Times New Roman"/>
          <w:b w:val="false"/>
          <w:i w:val="false"/>
          <w:color w:val="000000"/>
          <w:sz w:val="28"/>
        </w:rPr>
        <w:t>
      2. Размер лимитов правительственного долга и долга местного исполнительного органа, лимитов предоставления государственных гарантий и поручительств государства округляется с точностью до тысячи тенге.</w:t>
      </w:r>
    </w:p>
    <w:bookmarkEnd w:id="9"/>
    <w:bookmarkStart w:name="z16" w:id="10"/>
    <w:p>
      <w:pPr>
        <w:spacing w:after="0"/>
        <w:ind w:left="0"/>
        <w:jc w:val="left"/>
      </w:pPr>
      <w:r>
        <w:rPr>
          <w:rFonts w:ascii="Times New Roman"/>
          <w:b/>
          <w:i w:val="false"/>
          <w:color w:val="000000"/>
        </w:rPr>
        <w:t xml:space="preserve"> Глава 2. Порядок определения лимита правительственного долга и долга местных исполнительных органов</w:t>
      </w:r>
    </w:p>
    <w:bookmarkEnd w:id="10"/>
    <w:bookmarkStart w:name="z17" w:id="11"/>
    <w:p>
      <w:pPr>
        <w:spacing w:after="0"/>
        <w:ind w:left="0"/>
        <w:jc w:val="both"/>
      </w:pPr>
      <w:r>
        <w:rPr>
          <w:rFonts w:ascii="Times New Roman"/>
          <w:b w:val="false"/>
          <w:i w:val="false"/>
          <w:color w:val="000000"/>
          <w:sz w:val="28"/>
        </w:rPr>
        <w:t xml:space="preserve">
      3. Лимит правительственного долга на соответствующий финансовый год формируется исходя из лимита правительственного долга на конец года, предшествующего планируемому финансовому году, общего объема финансирования дефицита республиканского бюджета за счет правительственного заимствования на внутреннем рынке и правительственного заимствования на внешнем рынке в планируемом финансовом году с учетом расчетного курса обмена валют по формулам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вносится на рассмотрение Республиканской бюджетной комиссии.</w:t>
      </w:r>
    </w:p>
    <w:bookmarkEnd w:id="11"/>
    <w:bookmarkStart w:name="z18" w:id="12"/>
    <w:p>
      <w:pPr>
        <w:spacing w:after="0"/>
        <w:ind w:left="0"/>
        <w:jc w:val="both"/>
      </w:pPr>
      <w:r>
        <w:rPr>
          <w:rFonts w:ascii="Times New Roman"/>
          <w:b w:val="false"/>
          <w:i w:val="false"/>
          <w:color w:val="000000"/>
          <w:sz w:val="28"/>
        </w:rPr>
        <w:t>
      4. Уточнение лимита правительственного долга производится в случаях изменения объема дефицита республиканского бюджета, установленного на планируемый финансовый год, или расчетного курса обмена валют при уточнении республиканского бюджета в течение соответствующего финансового года.</w:t>
      </w:r>
    </w:p>
    <w:bookmarkEnd w:id="12"/>
    <w:bookmarkStart w:name="z19" w:id="13"/>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года в расчетах применяется фактический объем правительственного долга на начало соответствующего финансового года.</w:t>
      </w:r>
    </w:p>
    <w:bookmarkEnd w:id="13"/>
    <w:bookmarkStart w:name="z20" w:id="14"/>
    <w:p>
      <w:pPr>
        <w:spacing w:after="0"/>
        <w:ind w:left="0"/>
        <w:jc w:val="both"/>
      </w:pPr>
      <w:r>
        <w:rPr>
          <w:rFonts w:ascii="Times New Roman"/>
          <w:b w:val="false"/>
          <w:i w:val="false"/>
          <w:color w:val="000000"/>
          <w:sz w:val="28"/>
        </w:rPr>
        <w:t>
      5. Лимит правительственного долга может быть превышен в случаях изменения рыночного курса обмена валют по отношению к расчетному курсу тенге к доллару США, предусмотренному в ходе разработки республиканского бюджета на планируемый финансовый год, выпуска государственных ценных бумаг с дисконтом, а также на сумму правительственных внешних займов, поступивших на счет в иностранной валюте центрального уполномоченного органа по исполнению бюджета.</w:t>
      </w:r>
    </w:p>
    <w:bookmarkEnd w:id="14"/>
    <w:bookmarkStart w:name="z21" w:id="15"/>
    <w:p>
      <w:pPr>
        <w:spacing w:after="0"/>
        <w:ind w:left="0"/>
        <w:jc w:val="both"/>
      </w:pPr>
      <w:r>
        <w:rPr>
          <w:rFonts w:ascii="Times New Roman"/>
          <w:b w:val="false"/>
          <w:i w:val="false"/>
          <w:color w:val="000000"/>
          <w:sz w:val="28"/>
        </w:rPr>
        <w:t>
      6. Объем расходов на погашение и обслуживание долга местного исполнительного органа не может превышать размера, равного десяти процентам от суммы собственных доходов местного бюджета и трансфертов общего характера на соответствующий финансовый год.</w:t>
      </w:r>
    </w:p>
    <w:bookmarkEnd w:id="15"/>
    <w:bookmarkStart w:name="z22" w:id="16"/>
    <w:p>
      <w:pPr>
        <w:spacing w:after="0"/>
        <w:ind w:left="0"/>
        <w:jc w:val="both"/>
      </w:pPr>
      <w:r>
        <w:rPr>
          <w:rFonts w:ascii="Times New Roman"/>
          <w:b w:val="false"/>
          <w:i w:val="false"/>
          <w:color w:val="000000"/>
          <w:sz w:val="28"/>
        </w:rPr>
        <w:t>
      7. Для определения лимита долга местных исполнительных органов областей, городов республиканского значения, столицы на соответствующий финансовый год используются данные центрального уполномоченного органа по исполнению бюджета о состоянии долга местных исполнительных органов на начало планируемого периода.</w:t>
      </w:r>
    </w:p>
    <w:bookmarkEnd w:id="16"/>
    <w:bookmarkStart w:name="z23" w:id="17"/>
    <w:p>
      <w:pPr>
        <w:spacing w:after="0"/>
        <w:ind w:left="0"/>
        <w:jc w:val="both"/>
      </w:pPr>
      <w:r>
        <w:rPr>
          <w:rFonts w:ascii="Times New Roman"/>
          <w:b w:val="false"/>
          <w:i w:val="false"/>
          <w:color w:val="000000"/>
          <w:sz w:val="28"/>
        </w:rPr>
        <w:t xml:space="preserve">
      8. При осуществлении заимствования местными исполнительными органами областей, городов республиканского значения,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и финансирования в установленном порядке отдельных мероприятий по содействию занятости, в виде выпуска местным исполнительным органом города республиканского значения с особым статусом,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 государственных ценных бумаг в национальной валюте для обращения на площадке Международного финансового центра "Астана", а также заимствования у международных финансовых организаций в национальной валюте для финансирования "зеленых" проектов в рамках реализации целей устойчивого развития лимит долга формируется:</w:t>
      </w:r>
    </w:p>
    <w:bookmarkEnd w:id="17"/>
    <w:bookmarkStart w:name="z82" w:id="18"/>
    <w:p>
      <w:pPr>
        <w:spacing w:after="0"/>
        <w:ind w:left="0"/>
        <w:jc w:val="both"/>
      </w:pPr>
      <w:r>
        <w:rPr>
          <w:rFonts w:ascii="Times New Roman"/>
          <w:b w:val="false"/>
          <w:i w:val="false"/>
          <w:color w:val="000000"/>
          <w:sz w:val="28"/>
        </w:rPr>
        <w:t>
      1) с учетом суммы собственных доходов местного бюджета и трансфертов общего характера;</w:t>
      </w:r>
    </w:p>
    <w:bookmarkEnd w:id="18"/>
    <w:bookmarkStart w:name="z83" w:id="19"/>
    <w:p>
      <w:pPr>
        <w:spacing w:after="0"/>
        <w:ind w:left="0"/>
        <w:jc w:val="both"/>
      </w:pPr>
      <w:r>
        <w:rPr>
          <w:rFonts w:ascii="Times New Roman"/>
          <w:b w:val="false"/>
          <w:i w:val="false"/>
          <w:color w:val="000000"/>
          <w:sz w:val="28"/>
        </w:rPr>
        <w:t>
      2) с учетом возможности самостоятельно обслуживать и погашать свои долги в планируемом финансовом году.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национальной экономики РК от 30.04.2024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но не ранее 08.06.2024).</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9. Лимит долга местных исполнительных органов областей, городов республиканского значения, столицы на планируемый финансовый год устанавливается в срок до 15 декабря года, предшествующего планируемому,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210 Бюджетного кодекса по формулам,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10. Уточнение лимита долга местных исполнительных органов производится в случае изменения бюджетных параметров, при уточнении республиканского бюджета в течение соответствующего финансового года.</w:t>
      </w:r>
    </w:p>
    <w:bookmarkEnd w:id="21"/>
    <w:p>
      <w:pPr>
        <w:spacing w:after="0"/>
        <w:ind w:left="0"/>
        <w:jc w:val="both"/>
      </w:pPr>
      <w:r>
        <w:rPr>
          <w:rFonts w:ascii="Times New Roman"/>
          <w:b w:val="false"/>
          <w:i w:val="false"/>
          <w:color w:val="000000"/>
          <w:sz w:val="28"/>
        </w:rPr>
        <w:t>
      В случае образования местных исполнительных органов областей, городов республиканского значения, а также изменения границ административно-территориальной единицы путем выделения или разделения населенных пунктов уточнение лимита долга местных исполнительных органов производится на основании данных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15.08.2023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Глава 3. Порядок определения лимита предоставления государственных гарантий и поручительств государства</w:t>
      </w:r>
    </w:p>
    <w:bookmarkEnd w:id="22"/>
    <w:bookmarkStart w:name="z29" w:id="23"/>
    <w:p>
      <w:pPr>
        <w:spacing w:after="0"/>
        <w:ind w:left="0"/>
        <w:jc w:val="both"/>
      </w:pPr>
      <w:r>
        <w:rPr>
          <w:rFonts w:ascii="Times New Roman"/>
          <w:b w:val="false"/>
          <w:i w:val="false"/>
          <w:color w:val="000000"/>
          <w:sz w:val="28"/>
        </w:rPr>
        <w:t>
      11. Лимит предоставления государственных гарантий и поручительств государства на соответствующий год формируется исходя из объемов расходов республиканского бюджета, затрат на обслуживание правительственного долга, затрат, связанных с выполнением обязательств по государственным гарантиям и поручительствам государства на планируемый финансовый год.</w:t>
      </w:r>
    </w:p>
    <w:bookmarkEnd w:id="23"/>
    <w:bookmarkStart w:name="z30" w:id="24"/>
    <w:p>
      <w:pPr>
        <w:spacing w:after="0"/>
        <w:ind w:left="0"/>
        <w:jc w:val="both"/>
      </w:pPr>
      <w:r>
        <w:rPr>
          <w:rFonts w:ascii="Times New Roman"/>
          <w:b w:val="false"/>
          <w:i w:val="false"/>
          <w:color w:val="000000"/>
          <w:sz w:val="28"/>
        </w:rPr>
        <w:t xml:space="preserve">
      12. Лимиты предоставления государственных гарантий и поручительств государства на соответствующий финансовый год определяются по формулам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вносятся на рассмотрение Республиканской бюджетной комиссии.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w:t>
            </w:r>
            <w:r>
              <w:br/>
            </w:r>
            <w:r>
              <w:rPr>
                <w:rFonts w:ascii="Times New Roman"/>
                <w:b w:val="false"/>
                <w:i w:val="false"/>
                <w:color w:val="000000"/>
                <w:sz w:val="20"/>
              </w:rPr>
              <w:t>и 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w:t>
            </w:r>
            <w:r>
              <w:br/>
            </w:r>
            <w:r>
              <w:rPr>
                <w:rFonts w:ascii="Times New Roman"/>
                <w:b w:val="false"/>
                <w:i w:val="false"/>
                <w:color w:val="000000"/>
                <w:sz w:val="20"/>
              </w:rPr>
              <w:t>и поручительств государства</w:t>
            </w:r>
          </w:p>
        </w:tc>
      </w:tr>
    </w:tbl>
    <w:bookmarkStart w:name="z32" w:id="25"/>
    <w:p>
      <w:pPr>
        <w:spacing w:after="0"/>
        <w:ind w:left="0"/>
        <w:jc w:val="left"/>
      </w:pPr>
      <w:r>
        <w:rPr>
          <w:rFonts w:ascii="Times New Roman"/>
          <w:b/>
          <w:i w:val="false"/>
          <w:color w:val="000000"/>
        </w:rPr>
        <w:t xml:space="preserve"> Формулы определения лимитов правительственного долга</w:t>
      </w:r>
    </w:p>
    <w:bookmarkEnd w:id="25"/>
    <w:bookmarkStart w:name="z33" w:id="26"/>
    <w:p>
      <w:pPr>
        <w:spacing w:after="0"/>
        <w:ind w:left="0"/>
        <w:jc w:val="both"/>
      </w:pPr>
      <w:r>
        <w:rPr>
          <w:rFonts w:ascii="Times New Roman"/>
          <w:b w:val="false"/>
          <w:i w:val="false"/>
          <w:color w:val="000000"/>
          <w:sz w:val="28"/>
        </w:rPr>
        <w:t>
      Lgov = Lgov1 + Bdef + (Dgov * E), где:</w:t>
      </w:r>
    </w:p>
    <w:bookmarkEnd w:id="26"/>
    <w:bookmarkStart w:name="z34" w:id="27"/>
    <w:p>
      <w:pPr>
        <w:spacing w:after="0"/>
        <w:ind w:left="0"/>
        <w:jc w:val="both"/>
      </w:pPr>
      <w:r>
        <w:rPr>
          <w:rFonts w:ascii="Times New Roman"/>
          <w:b w:val="false"/>
          <w:i w:val="false"/>
          <w:color w:val="000000"/>
          <w:sz w:val="28"/>
        </w:rPr>
        <w:t>
      Lgov – лимит правительственного долга на планируемый финансовый год, рассчитываемый в тенге;</w:t>
      </w:r>
    </w:p>
    <w:bookmarkEnd w:id="27"/>
    <w:bookmarkStart w:name="z35" w:id="28"/>
    <w:p>
      <w:pPr>
        <w:spacing w:after="0"/>
        <w:ind w:left="0"/>
        <w:jc w:val="both"/>
      </w:pPr>
      <w:r>
        <w:rPr>
          <w:rFonts w:ascii="Times New Roman"/>
          <w:b w:val="false"/>
          <w:i w:val="false"/>
          <w:color w:val="000000"/>
          <w:sz w:val="28"/>
        </w:rPr>
        <w:t>
      Lgov1 – лимит правительственного долга на конец года, предшествующего планируемому финансовому году.</w:t>
      </w:r>
    </w:p>
    <w:bookmarkEnd w:id="28"/>
    <w:bookmarkStart w:name="z36" w:id="29"/>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Lgov1 применяется фактический объем правительственного долга на конец года, предшествующего планируемому финансовому году.</w:t>
      </w:r>
    </w:p>
    <w:bookmarkEnd w:id="29"/>
    <w:bookmarkStart w:name="z37" w:id="30"/>
    <w:p>
      <w:pPr>
        <w:spacing w:after="0"/>
        <w:ind w:left="0"/>
        <w:jc w:val="both"/>
      </w:pPr>
      <w:r>
        <w:rPr>
          <w:rFonts w:ascii="Times New Roman"/>
          <w:b w:val="false"/>
          <w:i w:val="false"/>
          <w:color w:val="000000"/>
          <w:sz w:val="28"/>
        </w:rPr>
        <w:t>
      Bdef – общий объем финансирования дефицита республиканского бюджета за счет правительственного заимствования на внутреннем рынке в национальной валюте в планируемом финансовом году;</w:t>
      </w:r>
    </w:p>
    <w:bookmarkEnd w:id="30"/>
    <w:bookmarkStart w:name="z38" w:id="31"/>
    <w:p>
      <w:pPr>
        <w:spacing w:after="0"/>
        <w:ind w:left="0"/>
        <w:jc w:val="both"/>
      </w:pPr>
      <w:r>
        <w:rPr>
          <w:rFonts w:ascii="Times New Roman"/>
          <w:b w:val="false"/>
          <w:i w:val="false"/>
          <w:color w:val="000000"/>
          <w:sz w:val="28"/>
        </w:rPr>
        <w:t>
      Dgov – общий объем финансирования дефицита республиканского бюджета за счет правительственного заимствования на внешнем рынке, приведенный с учетом кросс-курсов в долларах США, в планируемом финансовом году;</w:t>
      </w:r>
    </w:p>
    <w:bookmarkEnd w:id="31"/>
    <w:bookmarkStart w:name="z39" w:id="32"/>
    <w:p>
      <w:pPr>
        <w:spacing w:after="0"/>
        <w:ind w:left="0"/>
        <w:jc w:val="both"/>
      </w:pPr>
      <w:r>
        <w:rPr>
          <w:rFonts w:ascii="Times New Roman"/>
          <w:b w:val="false"/>
          <w:i w:val="false"/>
          <w:color w:val="000000"/>
          <w:sz w:val="28"/>
        </w:rPr>
        <w:t>
      Е – расчетный курс тенге к доллару США, предусмотренный в ходе разработки республиканского бюджета на планируемый финансовый год.</w:t>
      </w:r>
    </w:p>
    <w:bookmarkEnd w:id="32"/>
    <w:bookmarkStart w:name="z40" w:id="33"/>
    <w:p>
      <w:pPr>
        <w:spacing w:after="0"/>
        <w:ind w:left="0"/>
        <w:jc w:val="both"/>
      </w:pPr>
      <w:r>
        <w:rPr>
          <w:rFonts w:ascii="Times New Roman"/>
          <w:b w:val="false"/>
          <w:i w:val="false"/>
          <w:color w:val="000000"/>
          <w:sz w:val="28"/>
        </w:rPr>
        <w:t>
      При определении лимита правительственного долга на планируемый финансовый год соблюдается следующее требование:</w:t>
      </w:r>
    </w:p>
    <w:bookmarkEnd w:id="33"/>
    <w:bookmarkStart w:name="z41" w:id="34"/>
    <w:p>
      <w:pPr>
        <w:spacing w:after="0"/>
        <w:ind w:left="0"/>
        <w:jc w:val="both"/>
      </w:pPr>
      <w:r>
        <w:rPr>
          <w:rFonts w:ascii="Times New Roman"/>
          <w:b w:val="false"/>
          <w:i w:val="false"/>
          <w:color w:val="000000"/>
          <w:sz w:val="28"/>
        </w:rPr>
        <w:t>
      В1 ≤ ExGB * 0,10, где:</w:t>
      </w:r>
    </w:p>
    <w:bookmarkEnd w:id="34"/>
    <w:bookmarkStart w:name="z42" w:id="35"/>
    <w:p>
      <w:pPr>
        <w:spacing w:after="0"/>
        <w:ind w:left="0"/>
        <w:jc w:val="both"/>
      </w:pPr>
      <w:r>
        <w:rPr>
          <w:rFonts w:ascii="Times New Roman"/>
          <w:b w:val="false"/>
          <w:i w:val="false"/>
          <w:color w:val="000000"/>
          <w:sz w:val="28"/>
        </w:rPr>
        <w:t>
      B1 – объем затрат на обслуживание правительственного долга на планируемый финансовый год;</w:t>
      </w:r>
    </w:p>
    <w:bookmarkEnd w:id="35"/>
    <w:bookmarkStart w:name="z43" w:id="36"/>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w:t>
            </w:r>
            <w:r>
              <w:br/>
            </w:r>
            <w:r>
              <w:rPr>
                <w:rFonts w:ascii="Times New Roman"/>
                <w:b w:val="false"/>
                <w:i w:val="false"/>
                <w:color w:val="000000"/>
                <w:sz w:val="20"/>
              </w:rPr>
              <w:t>и долга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лимитов предоставления</w:t>
            </w:r>
            <w:r>
              <w:br/>
            </w:r>
            <w:r>
              <w:rPr>
                <w:rFonts w:ascii="Times New Roman"/>
                <w:b w:val="false"/>
                <w:i w:val="false"/>
                <w:color w:val="000000"/>
                <w:sz w:val="20"/>
              </w:rPr>
              <w:t>государственных гарантий</w:t>
            </w:r>
            <w:r>
              <w:br/>
            </w:r>
            <w:r>
              <w:rPr>
                <w:rFonts w:ascii="Times New Roman"/>
                <w:b w:val="false"/>
                <w:i w:val="false"/>
                <w:color w:val="000000"/>
                <w:sz w:val="20"/>
              </w:rPr>
              <w:t>и поручительств государства</w:t>
            </w:r>
          </w:p>
        </w:tc>
      </w:tr>
    </w:tbl>
    <w:bookmarkStart w:name="z67" w:id="37"/>
    <w:p>
      <w:pPr>
        <w:spacing w:after="0"/>
        <w:ind w:left="0"/>
        <w:jc w:val="left"/>
      </w:pPr>
      <w:r>
        <w:rPr>
          <w:rFonts w:ascii="Times New Roman"/>
          <w:b/>
          <w:i w:val="false"/>
          <w:color w:val="000000"/>
        </w:rPr>
        <w:t xml:space="preserve"> Формулы определения лимитов долга местных исполнительных органов областей, городов республиканского значения, столицы</w:t>
      </w:r>
    </w:p>
    <w:bookmarkEnd w:id="37"/>
    <w:p>
      <w:pPr>
        <w:spacing w:after="0"/>
        <w:ind w:left="0"/>
        <w:jc w:val="both"/>
      </w:pPr>
      <w:r>
        <w:rPr>
          <w:rFonts w:ascii="Times New Roman"/>
          <w:b w:val="false"/>
          <w:i w:val="false"/>
          <w:color w:val="ff0000"/>
          <w:sz w:val="28"/>
        </w:rPr>
        <w:t xml:space="preserve">
      Сноска. Приложение 2 - в редакции приказа и.о. Министра национальной экономики РК от 23.11.2023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38"/>
    <w:p>
      <w:pPr>
        <w:spacing w:after="0"/>
        <w:ind w:left="0"/>
        <w:jc w:val="both"/>
      </w:pPr>
      <w:r>
        <w:rPr>
          <w:rFonts w:ascii="Times New Roman"/>
          <w:b w:val="false"/>
          <w:i w:val="false"/>
          <w:color w:val="000000"/>
          <w:sz w:val="28"/>
        </w:rPr>
        <w:t>
      1. Лимит долга местных исполнительных органов областей, городов республиканского значения, столицы на планируемый период определяется согласно следующей формуле:</w:t>
      </w:r>
    </w:p>
    <w:bookmarkEnd w:id="38"/>
    <w:bookmarkStart w:name="z69" w:id="39"/>
    <w:p>
      <w:pPr>
        <w:spacing w:after="0"/>
        <w:ind w:left="0"/>
        <w:jc w:val="both"/>
      </w:pPr>
      <w:r>
        <w:rPr>
          <w:rFonts w:ascii="Times New Roman"/>
          <w:b w:val="false"/>
          <w:i w:val="false"/>
          <w:color w:val="000000"/>
          <w:sz w:val="28"/>
        </w:rPr>
        <w:t>
      Lslg = Dlg + RtogchLg * k – Plg, где:</w:t>
      </w:r>
    </w:p>
    <w:bookmarkEnd w:id="39"/>
    <w:bookmarkStart w:name="z70" w:id="40"/>
    <w:p>
      <w:pPr>
        <w:spacing w:after="0"/>
        <w:ind w:left="0"/>
        <w:jc w:val="both"/>
      </w:pPr>
      <w:r>
        <w:rPr>
          <w:rFonts w:ascii="Times New Roman"/>
          <w:b w:val="false"/>
          <w:i w:val="false"/>
          <w:color w:val="000000"/>
          <w:sz w:val="28"/>
        </w:rPr>
        <w:t>
      Lslg – лимит долга местного исполнительного органа области, города республиканского значения, столицы в планируемом финансовом году;</w:t>
      </w:r>
    </w:p>
    <w:bookmarkEnd w:id="40"/>
    <w:bookmarkStart w:name="z71" w:id="41"/>
    <w:p>
      <w:pPr>
        <w:spacing w:after="0"/>
        <w:ind w:left="0"/>
        <w:jc w:val="both"/>
      </w:pPr>
      <w:r>
        <w:rPr>
          <w:rFonts w:ascii="Times New Roman"/>
          <w:b w:val="false"/>
          <w:i w:val="false"/>
          <w:color w:val="000000"/>
          <w:sz w:val="28"/>
        </w:rPr>
        <w:t>
      Dlg – долг местного исполнительного органа области, города республиканского значения, столицы на начало планируемого финансового года;</w:t>
      </w:r>
    </w:p>
    <w:bookmarkEnd w:id="41"/>
    <w:bookmarkStart w:name="z72" w:id="42"/>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 предшествующего планируемому финансовому году.</w:t>
      </w:r>
    </w:p>
    <w:bookmarkEnd w:id="42"/>
    <w:bookmarkStart w:name="z73" w:id="43"/>
    <w:p>
      <w:pPr>
        <w:spacing w:after="0"/>
        <w:ind w:left="0"/>
        <w:jc w:val="both"/>
      </w:pPr>
      <w:r>
        <w:rPr>
          <w:rFonts w:ascii="Times New Roman"/>
          <w:b w:val="false"/>
          <w:i w:val="false"/>
          <w:color w:val="000000"/>
          <w:sz w:val="28"/>
        </w:rPr>
        <w:t>
      При этом в случае образования местных исполнительных органов областей, городов республиканского значения, а также изменения границ административно-территориальной единицы путем выделения или разделения населенных пунктов применяются данные центрального уполномоченного органа по исполнению бюджета с учетом заключенных договоров между соответствующими местными исполнительными органами по разделению долга.</w:t>
      </w:r>
    </w:p>
    <w:bookmarkEnd w:id="43"/>
    <w:bookmarkStart w:name="z74" w:id="44"/>
    <w:p>
      <w:pPr>
        <w:spacing w:after="0"/>
        <w:ind w:left="0"/>
        <w:jc w:val="both"/>
      </w:pPr>
      <w:r>
        <w:rPr>
          <w:rFonts w:ascii="Times New Roman"/>
          <w:b w:val="false"/>
          <w:i w:val="false"/>
          <w:color w:val="000000"/>
          <w:sz w:val="28"/>
        </w:rPr>
        <w:t>
      RtogchLg –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w:t>
      </w:r>
    </w:p>
    <w:bookmarkEnd w:id="44"/>
    <w:bookmarkStart w:name="z75" w:id="45"/>
    <w:p>
      <w:pPr>
        <w:spacing w:after="0"/>
        <w:ind w:left="0"/>
        <w:jc w:val="both"/>
      </w:pPr>
      <w:r>
        <w:rPr>
          <w:rFonts w:ascii="Times New Roman"/>
          <w:b w:val="false"/>
          <w:i w:val="false"/>
          <w:color w:val="000000"/>
          <w:sz w:val="28"/>
        </w:rPr>
        <w:t>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w:t>
      </w:r>
    </w:p>
    <w:bookmarkEnd w:id="45"/>
    <w:bookmarkStart w:name="z76" w:id="46"/>
    <w:p>
      <w:pPr>
        <w:spacing w:after="0"/>
        <w:ind w:left="0"/>
        <w:jc w:val="both"/>
      </w:pPr>
      <w:r>
        <w:rPr>
          <w:rFonts w:ascii="Times New Roman"/>
          <w:b w:val="false"/>
          <w:i w:val="false"/>
          <w:color w:val="000000"/>
          <w:sz w:val="28"/>
        </w:rPr>
        <w:t>
      k – поправочный коэффициент для местного исполнительного органа области, города республиканского значения, столицы 0,1;</w:t>
      </w:r>
    </w:p>
    <w:bookmarkEnd w:id="46"/>
    <w:bookmarkStart w:name="z77" w:id="47"/>
    <w:p>
      <w:pPr>
        <w:spacing w:after="0"/>
        <w:ind w:left="0"/>
        <w:jc w:val="both"/>
      </w:pPr>
      <w:r>
        <w:rPr>
          <w:rFonts w:ascii="Times New Roman"/>
          <w:b w:val="false"/>
          <w:i w:val="false"/>
          <w:color w:val="000000"/>
          <w:sz w:val="28"/>
        </w:rPr>
        <w:t xml:space="preserve">
      При этом для местного исполнительного органа города республиканского значения с особым статусом,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 применяется поправочный коэффициент 0,5;</w:t>
      </w:r>
    </w:p>
    <w:bookmarkEnd w:id="47"/>
    <w:bookmarkStart w:name="z78" w:id="48"/>
    <w:p>
      <w:pPr>
        <w:spacing w:after="0"/>
        <w:ind w:left="0"/>
        <w:jc w:val="both"/>
      </w:pPr>
      <w:r>
        <w:rPr>
          <w:rFonts w:ascii="Times New Roman"/>
          <w:b w:val="false"/>
          <w:i w:val="false"/>
          <w:color w:val="000000"/>
          <w:sz w:val="28"/>
        </w:rPr>
        <w:t>
      Plg – объем средств местного исполнительного органа области, города республиканского значения, столицы, направляемых на погашение долга в планируемом финансовом году.</w:t>
      </w:r>
    </w:p>
    <w:bookmarkEnd w:id="48"/>
    <w:bookmarkStart w:name="z79" w:id="49"/>
    <w:p>
      <w:pPr>
        <w:spacing w:after="0"/>
        <w:ind w:left="0"/>
        <w:jc w:val="both"/>
      </w:pPr>
      <w:r>
        <w:rPr>
          <w:rFonts w:ascii="Times New Roman"/>
          <w:b w:val="false"/>
          <w:i w:val="false"/>
          <w:color w:val="000000"/>
          <w:sz w:val="28"/>
        </w:rPr>
        <w:t>
      2. Определяемый лимит долга соответствует следующему требованию:</w:t>
      </w:r>
    </w:p>
    <w:bookmarkEnd w:id="49"/>
    <w:bookmarkStart w:name="z80" w:id="50"/>
    <w:p>
      <w:pPr>
        <w:spacing w:after="0"/>
        <w:ind w:left="0"/>
        <w:jc w:val="both"/>
      </w:pPr>
      <w:r>
        <w:rPr>
          <w:rFonts w:ascii="Times New Roman"/>
          <w:b w:val="false"/>
          <w:i w:val="false"/>
          <w:color w:val="000000"/>
          <w:sz w:val="28"/>
        </w:rPr>
        <w:t>
      В2 ≤ RtogchLg * к, где:</w:t>
      </w:r>
    </w:p>
    <w:bookmarkEnd w:id="50"/>
    <w:bookmarkStart w:name="z81" w:id="51"/>
    <w:p>
      <w:pPr>
        <w:spacing w:after="0"/>
        <w:ind w:left="0"/>
        <w:jc w:val="both"/>
      </w:pPr>
      <w:r>
        <w:rPr>
          <w:rFonts w:ascii="Times New Roman"/>
          <w:b w:val="false"/>
          <w:i w:val="false"/>
          <w:color w:val="000000"/>
          <w:sz w:val="28"/>
        </w:rPr>
        <w:t>
      B2 –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 лимита</w:t>
            </w:r>
            <w:r>
              <w:br/>
            </w:r>
            <w:r>
              <w:rPr>
                <w:rFonts w:ascii="Times New Roman"/>
                <w:b w:val="false"/>
                <w:i w:val="false"/>
                <w:color w:val="000000"/>
                <w:sz w:val="20"/>
              </w:rPr>
              <w:t>правительственного долга и</w:t>
            </w:r>
            <w:r>
              <w:br/>
            </w:r>
            <w:r>
              <w:rPr>
                <w:rFonts w:ascii="Times New Roman"/>
                <w:b w:val="false"/>
                <w:i w:val="false"/>
                <w:color w:val="000000"/>
                <w:sz w:val="20"/>
              </w:rPr>
              <w:t>долга местного исполнительного</w:t>
            </w:r>
            <w:r>
              <w:br/>
            </w:r>
            <w:r>
              <w:rPr>
                <w:rFonts w:ascii="Times New Roman"/>
                <w:b w:val="false"/>
                <w:i w:val="false"/>
                <w:color w:val="000000"/>
                <w:sz w:val="20"/>
              </w:rPr>
              <w:t>органа, лимитов предоставления</w:t>
            </w:r>
            <w:r>
              <w:br/>
            </w:r>
            <w:r>
              <w:rPr>
                <w:rFonts w:ascii="Times New Roman"/>
                <w:b w:val="false"/>
                <w:i w:val="false"/>
                <w:color w:val="000000"/>
                <w:sz w:val="20"/>
              </w:rPr>
              <w:t>государственных гарантий и</w:t>
            </w:r>
            <w:r>
              <w:br/>
            </w:r>
            <w:r>
              <w:rPr>
                <w:rFonts w:ascii="Times New Roman"/>
                <w:b w:val="false"/>
                <w:i w:val="false"/>
                <w:color w:val="000000"/>
                <w:sz w:val="20"/>
              </w:rPr>
              <w:t>поручительств государства</w:t>
            </w:r>
          </w:p>
        </w:tc>
      </w:tr>
    </w:tbl>
    <w:bookmarkStart w:name="z59" w:id="52"/>
    <w:p>
      <w:pPr>
        <w:spacing w:after="0"/>
        <w:ind w:left="0"/>
        <w:jc w:val="left"/>
      </w:pPr>
      <w:r>
        <w:rPr>
          <w:rFonts w:ascii="Times New Roman"/>
          <w:b/>
          <w:i w:val="false"/>
          <w:color w:val="000000"/>
        </w:rPr>
        <w:t xml:space="preserve"> Формулы определения лимита предоставления государственных гарантий и поручительств государства</w:t>
      </w:r>
    </w:p>
    <w:bookmarkEnd w:id="52"/>
    <w:bookmarkStart w:name="z60" w:id="53"/>
    <w:p>
      <w:pPr>
        <w:spacing w:after="0"/>
        <w:ind w:left="0"/>
        <w:jc w:val="both"/>
      </w:pPr>
      <w:r>
        <w:rPr>
          <w:rFonts w:ascii="Times New Roman"/>
          <w:b w:val="false"/>
          <w:i w:val="false"/>
          <w:color w:val="000000"/>
          <w:sz w:val="28"/>
        </w:rPr>
        <w:t>
      При определении лимита предоставления государственных гарантий и поручительств государства соблюдается следующее требование:</w:t>
      </w:r>
    </w:p>
    <w:bookmarkEnd w:id="53"/>
    <w:bookmarkStart w:name="z61" w:id="54"/>
    <w:p>
      <w:pPr>
        <w:spacing w:after="0"/>
        <w:ind w:left="0"/>
        <w:jc w:val="both"/>
      </w:pPr>
      <w:r>
        <w:rPr>
          <w:rFonts w:ascii="Times New Roman"/>
          <w:b w:val="false"/>
          <w:i w:val="false"/>
          <w:color w:val="000000"/>
          <w:sz w:val="28"/>
        </w:rPr>
        <w:t>
      LGgov ≤ (ExGB * 0,15) - В1-B2, где:</w:t>
      </w:r>
    </w:p>
    <w:bookmarkEnd w:id="54"/>
    <w:bookmarkStart w:name="z62" w:id="55"/>
    <w:p>
      <w:pPr>
        <w:spacing w:after="0"/>
        <w:ind w:left="0"/>
        <w:jc w:val="both"/>
      </w:pPr>
      <w:r>
        <w:rPr>
          <w:rFonts w:ascii="Times New Roman"/>
          <w:b w:val="false"/>
          <w:i w:val="false"/>
          <w:color w:val="000000"/>
          <w:sz w:val="28"/>
        </w:rPr>
        <w:t>
      LGgov – лимит предоставления государственных гарантий и поручительств государства на планируемый финансовый год;</w:t>
      </w:r>
    </w:p>
    <w:bookmarkEnd w:id="55"/>
    <w:bookmarkStart w:name="z63" w:id="56"/>
    <w:p>
      <w:pPr>
        <w:spacing w:after="0"/>
        <w:ind w:left="0"/>
        <w:jc w:val="both"/>
      </w:pPr>
      <w:r>
        <w:rPr>
          <w:rFonts w:ascii="Times New Roman"/>
          <w:b w:val="false"/>
          <w:i w:val="false"/>
          <w:color w:val="000000"/>
          <w:sz w:val="28"/>
        </w:rPr>
        <w:t>
      ExGB – объем расходов республиканского бюджета на планируемый финансовый год;</w:t>
      </w:r>
    </w:p>
    <w:bookmarkEnd w:id="56"/>
    <w:bookmarkStart w:name="z64" w:id="57"/>
    <w:p>
      <w:pPr>
        <w:spacing w:after="0"/>
        <w:ind w:left="0"/>
        <w:jc w:val="both"/>
      </w:pPr>
      <w:r>
        <w:rPr>
          <w:rFonts w:ascii="Times New Roman"/>
          <w:b w:val="false"/>
          <w:i w:val="false"/>
          <w:color w:val="000000"/>
          <w:sz w:val="28"/>
        </w:rPr>
        <w:t>
      В1 – объем затрат на обслуживание правительственного долга на планируемый финансовый год;</w:t>
      </w:r>
    </w:p>
    <w:bookmarkEnd w:id="57"/>
    <w:bookmarkStart w:name="z65" w:id="58"/>
    <w:p>
      <w:pPr>
        <w:spacing w:after="0"/>
        <w:ind w:left="0"/>
        <w:jc w:val="both"/>
      </w:pPr>
      <w:r>
        <w:rPr>
          <w:rFonts w:ascii="Times New Roman"/>
          <w:b w:val="false"/>
          <w:i w:val="false"/>
          <w:color w:val="000000"/>
          <w:sz w:val="28"/>
        </w:rPr>
        <w:t>
      В2 – объем затрат, связанных с выполнением обязательств по государственным гарантиям и поручительствам государства на планируемый финансовый год.</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