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294b" w14:textId="15c29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Первого заместителя Премьер-Министра Республики Казахстан – Министра финансов Республики Казахстан от 15 июля 2019 года № 724 и Министра национальной экономики Республики Казахстан от 16 июля 2019 года № 65 "Об утверждении критериев оценки степени риска и проверочных листов в области аудиторской деятельности"</w:t>
      </w:r>
    </w:p>
    <w:p>
      <w:pPr>
        <w:spacing w:after="0"/>
        <w:ind w:left="0"/>
        <w:jc w:val="both"/>
      </w:pPr>
      <w:r>
        <w:rPr>
          <w:rFonts w:ascii="Times New Roman"/>
          <w:b w:val="false"/>
          <w:i w:val="false"/>
          <w:color w:val="000000"/>
          <w:sz w:val="28"/>
        </w:rPr>
        <w:t>Совместный приказ Заместителя Премьер-Министра - Министра финансов Республики Казахстан от 5 июня 2023 года № 606 и Министра национальной экономики Республики Кахахстан от 5 июня 2023 года № 99. Зарегистрирован в Министерстве юстиции Республики Казахстан 6 июня 2023 года № 32707</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15 июля 2019 года № 724 и Министра национальной экономики Республики Казахстан от 16 июля 2019 года № 65 "Об утверждении критериев оценки степени риска и проверочных листов в области аудиторской деятельности" (зарегистрирован в Реестре государственной регистрации нормативных правовых актов под № 19068)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совместному приказу.</w:t>
      </w:r>
    </w:p>
    <w:bookmarkStart w:name="z7" w:id="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финансов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финансов Республики Казахстан.</w:t>
      </w:r>
    </w:p>
    <w:bookmarkEnd w:id="6"/>
    <w:bookmarkStart w:name="z12" w:id="7"/>
    <w:p>
      <w:pPr>
        <w:spacing w:after="0"/>
        <w:ind w:left="0"/>
        <w:jc w:val="both"/>
      </w:pPr>
      <w:r>
        <w:rPr>
          <w:rFonts w:ascii="Times New Roman"/>
          <w:b w:val="false"/>
          <w:i w:val="false"/>
          <w:color w:val="000000"/>
          <w:sz w:val="28"/>
        </w:rPr>
        <w:t xml:space="preserve">
      4. Настоящий совместный приказ вводится в действие по истечении десяти календарных дней после дня его первого официального опубликования.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Е. Жамаубаев</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2023 года № 99</w:t>
            </w:r>
            <w:r>
              <w:br/>
            </w:r>
            <w:r>
              <w:rPr>
                <w:rFonts w:ascii="Times New Roman"/>
                <w:b w:val="false"/>
                <w:i w:val="false"/>
                <w:color w:val="000000"/>
                <w:sz w:val="20"/>
              </w:rPr>
              <w:t>и 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2023 года № 606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2019 года № 724</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2019 года № 65</w:t>
            </w:r>
          </w:p>
        </w:tc>
      </w:tr>
    </w:tbl>
    <w:bookmarkStart w:name="z18" w:id="9"/>
    <w:p>
      <w:pPr>
        <w:spacing w:after="0"/>
        <w:ind w:left="0"/>
        <w:jc w:val="left"/>
      </w:pPr>
      <w:r>
        <w:rPr>
          <w:rFonts w:ascii="Times New Roman"/>
          <w:b/>
          <w:i w:val="false"/>
          <w:color w:val="000000"/>
        </w:rPr>
        <w:t xml:space="preserve"> Критерии оценки степени риска в области аудиторской деятельности</w:t>
      </w:r>
    </w:p>
    <w:bookmarkEnd w:id="9"/>
    <w:bookmarkStart w:name="z19" w:id="10"/>
    <w:p>
      <w:pPr>
        <w:spacing w:after="0"/>
        <w:ind w:left="0"/>
        <w:jc w:val="left"/>
      </w:pPr>
      <w:r>
        <w:rPr>
          <w:rFonts w:ascii="Times New Roman"/>
          <w:b/>
          <w:i w:val="false"/>
          <w:color w:val="000000"/>
        </w:rPr>
        <w:t xml:space="preserve"> Глава 1. Общие положения</w:t>
      </w:r>
    </w:p>
    <w:bookmarkEnd w:id="10"/>
    <w:bookmarkStart w:name="z20" w:id="11"/>
    <w:p>
      <w:pPr>
        <w:spacing w:after="0"/>
        <w:ind w:left="0"/>
        <w:jc w:val="both"/>
      </w:pPr>
      <w:r>
        <w:rPr>
          <w:rFonts w:ascii="Times New Roman"/>
          <w:b w:val="false"/>
          <w:i w:val="false"/>
          <w:color w:val="000000"/>
          <w:sz w:val="28"/>
        </w:rPr>
        <w:t xml:space="preserve">
      1. Настоящие Критерии оценки степени риска в области аудиторской деятельности (далее – Критерии) разработаны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и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 (далее – Кодекс),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22 июня 2022 года № 48 "Об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 3 "Об утверждении Правил формирования государственными органами системы оценки рисков и формы проверочных листов" (зарегистрирован в Реестре государственной регистрации нормативных правовых актов под № 28577)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под № 17371), для отнесения субъектов контроля, осуществляющих аудиторскую деятельность, к степеням риска.</w:t>
      </w:r>
    </w:p>
    <w:bookmarkEnd w:id="11"/>
    <w:bookmarkStart w:name="z21" w:id="12"/>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2"/>
    <w:bookmarkStart w:name="z22" w:id="13"/>
    <w:p>
      <w:pPr>
        <w:spacing w:after="0"/>
        <w:ind w:left="0"/>
        <w:jc w:val="both"/>
      </w:pPr>
      <w:r>
        <w:rPr>
          <w:rFonts w:ascii="Times New Roman"/>
          <w:b w:val="false"/>
          <w:i w:val="false"/>
          <w:color w:val="000000"/>
          <w:sz w:val="28"/>
        </w:rPr>
        <w:t>
      1) балл – количественная мера исчисления риска;</w:t>
      </w:r>
    </w:p>
    <w:bookmarkEnd w:id="13"/>
    <w:bookmarkStart w:name="z23" w:id="14"/>
    <w:p>
      <w:pPr>
        <w:spacing w:after="0"/>
        <w:ind w:left="0"/>
        <w:jc w:val="both"/>
      </w:pPr>
      <w:r>
        <w:rPr>
          <w:rFonts w:ascii="Times New Roman"/>
          <w:b w:val="false"/>
          <w:i w:val="false"/>
          <w:color w:val="000000"/>
          <w:sz w:val="28"/>
        </w:rPr>
        <w:t>
      2) субъект (объект) контроля – аккредитованные профессиональные аудиторские организации и (или) аудиторские организации;</w:t>
      </w:r>
    </w:p>
    <w:bookmarkEnd w:id="14"/>
    <w:bookmarkStart w:name="z24" w:id="15"/>
    <w:p>
      <w:pPr>
        <w:spacing w:after="0"/>
        <w:ind w:left="0"/>
        <w:jc w:val="both"/>
      </w:pPr>
      <w:r>
        <w:rPr>
          <w:rFonts w:ascii="Times New Roman"/>
          <w:b w:val="false"/>
          <w:i w:val="false"/>
          <w:color w:val="000000"/>
          <w:sz w:val="28"/>
        </w:rPr>
        <w:t>
      3)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15"/>
    <w:bookmarkStart w:name="z25" w:id="16"/>
    <w:p>
      <w:pPr>
        <w:spacing w:after="0"/>
        <w:ind w:left="0"/>
        <w:jc w:val="both"/>
      </w:pPr>
      <w:r>
        <w:rPr>
          <w:rFonts w:ascii="Times New Roman"/>
          <w:b w:val="false"/>
          <w:i w:val="false"/>
          <w:color w:val="000000"/>
          <w:sz w:val="28"/>
        </w:rPr>
        <w:t>
      4) значительные нарушения – нарушения требований законодательства Республики Казахстан в области аудиторской деятельности, не влекущие административную ответственность, но затрагивающие законные интересы физических и юридических лиц, государства;</w:t>
      </w:r>
    </w:p>
    <w:bookmarkEnd w:id="16"/>
    <w:bookmarkStart w:name="z26" w:id="17"/>
    <w:p>
      <w:pPr>
        <w:spacing w:after="0"/>
        <w:ind w:left="0"/>
        <w:jc w:val="both"/>
      </w:pPr>
      <w:r>
        <w:rPr>
          <w:rFonts w:ascii="Times New Roman"/>
          <w:b w:val="false"/>
          <w:i w:val="false"/>
          <w:color w:val="000000"/>
          <w:sz w:val="28"/>
        </w:rPr>
        <w:t>
      5) незначительные нарушения – не устранение выявленных недостатков в срок, определяемый решением комитета по контролю качества и (или) профессиональной аудиторской организации, в случае получения оценки меньше чем "4" в течение 2 (двух) месяцев;</w:t>
      </w:r>
    </w:p>
    <w:bookmarkEnd w:id="17"/>
    <w:bookmarkStart w:name="z27" w:id="18"/>
    <w:p>
      <w:pPr>
        <w:spacing w:after="0"/>
        <w:ind w:left="0"/>
        <w:jc w:val="both"/>
      </w:pPr>
      <w:r>
        <w:rPr>
          <w:rFonts w:ascii="Times New Roman"/>
          <w:b w:val="false"/>
          <w:i w:val="false"/>
          <w:color w:val="000000"/>
          <w:sz w:val="28"/>
        </w:rPr>
        <w:t xml:space="preserve">
      6) грубые нарушения – нарушения требований законодательства Республики Казахстан, влекущие наложение административной ответственности согласно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"Об административных правонарушениях", которые затрагивают интересы государства;</w:t>
      </w:r>
    </w:p>
    <w:bookmarkEnd w:id="18"/>
    <w:bookmarkStart w:name="z28" w:id="19"/>
    <w:p>
      <w:pPr>
        <w:spacing w:after="0"/>
        <w:ind w:left="0"/>
        <w:jc w:val="both"/>
      </w:pPr>
      <w:r>
        <w:rPr>
          <w:rFonts w:ascii="Times New Roman"/>
          <w:b w:val="false"/>
          <w:i w:val="false"/>
          <w:color w:val="000000"/>
          <w:sz w:val="28"/>
        </w:rPr>
        <w:t>
      7) риск – вероятность причинения вреда в результате деятельности субъекта контроля законным интересам физических и юридических лиц, имущественным интересам государства с учетом степени тяжести его последствий;</w:t>
      </w:r>
    </w:p>
    <w:bookmarkEnd w:id="19"/>
    <w:bookmarkStart w:name="z29" w:id="20"/>
    <w:p>
      <w:pPr>
        <w:spacing w:after="0"/>
        <w:ind w:left="0"/>
        <w:jc w:val="both"/>
      </w:pPr>
      <w:r>
        <w:rPr>
          <w:rFonts w:ascii="Times New Roman"/>
          <w:b w:val="false"/>
          <w:i w:val="false"/>
          <w:color w:val="000000"/>
          <w:sz w:val="28"/>
        </w:rPr>
        <w:t>
      8)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и (или) проверок на соответствие квалификационным или разрешительным требованиям (далее – проверка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 и (или) проверок на соответствие требованиям;</w:t>
      </w:r>
    </w:p>
    <w:bookmarkEnd w:id="20"/>
    <w:bookmarkStart w:name="z30" w:id="21"/>
    <w:p>
      <w:pPr>
        <w:spacing w:after="0"/>
        <w:ind w:left="0"/>
        <w:jc w:val="both"/>
      </w:pPr>
      <w:r>
        <w:rPr>
          <w:rFonts w:ascii="Times New Roman"/>
          <w:b w:val="false"/>
          <w:i w:val="false"/>
          <w:color w:val="000000"/>
          <w:sz w:val="28"/>
        </w:rPr>
        <w:t>
      9)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21"/>
    <w:bookmarkStart w:name="z31" w:id="22"/>
    <w:p>
      <w:pPr>
        <w:spacing w:after="0"/>
        <w:ind w:left="0"/>
        <w:jc w:val="both"/>
      </w:pPr>
      <w:r>
        <w:rPr>
          <w:rFonts w:ascii="Times New Roman"/>
          <w:b w:val="false"/>
          <w:i w:val="false"/>
          <w:color w:val="000000"/>
          <w:sz w:val="28"/>
        </w:rPr>
        <w:t>
      10)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22"/>
    <w:bookmarkStart w:name="z32" w:id="23"/>
    <w:p>
      <w:pPr>
        <w:spacing w:after="0"/>
        <w:ind w:left="0"/>
        <w:jc w:val="both"/>
      </w:pPr>
      <w:r>
        <w:rPr>
          <w:rFonts w:ascii="Times New Roman"/>
          <w:b w:val="false"/>
          <w:i w:val="false"/>
          <w:color w:val="000000"/>
          <w:sz w:val="28"/>
        </w:rPr>
        <w:t>
      11)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23"/>
    <w:bookmarkStart w:name="z33" w:id="24"/>
    <w:p>
      <w:pPr>
        <w:spacing w:after="0"/>
        <w:ind w:left="0"/>
        <w:jc w:val="both"/>
      </w:pPr>
      <w:r>
        <w:rPr>
          <w:rFonts w:ascii="Times New Roman"/>
          <w:b w:val="false"/>
          <w:i w:val="false"/>
          <w:color w:val="000000"/>
          <w:sz w:val="28"/>
        </w:rPr>
        <w:t>
      12) проверочный лист – перечень требований, предъявляемых к деятельности субъектов (объектов) контроля, несоблюдение которых влечет за собой угрозу законным интересам физических и юридических лиц, государства;</w:t>
      </w:r>
    </w:p>
    <w:bookmarkEnd w:id="24"/>
    <w:bookmarkStart w:name="z34" w:id="25"/>
    <w:p>
      <w:pPr>
        <w:spacing w:after="0"/>
        <w:ind w:left="0"/>
        <w:jc w:val="both"/>
      </w:pPr>
      <w:r>
        <w:rPr>
          <w:rFonts w:ascii="Times New Roman"/>
          <w:b w:val="false"/>
          <w:i w:val="false"/>
          <w:color w:val="000000"/>
          <w:sz w:val="28"/>
        </w:rPr>
        <w:t xml:space="preserve">
      13) выборочная совокупность (выборка) – перечень оцениваемых субъектов (объектов), относимых к однородной группе субъектов (объектов) контроля в конкретной сфере государственного контроля,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bookmarkEnd w:id="25"/>
    <w:bookmarkStart w:name="z35" w:id="26"/>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проверки на соответствие требованиям и профилактического контроля субъектов (объектов) контроля</w:t>
      </w:r>
    </w:p>
    <w:bookmarkEnd w:id="26"/>
    <w:bookmarkStart w:name="z36" w:id="27"/>
    <w:p>
      <w:pPr>
        <w:spacing w:after="0"/>
        <w:ind w:left="0"/>
        <w:jc w:val="both"/>
      </w:pPr>
      <w:r>
        <w:rPr>
          <w:rFonts w:ascii="Times New Roman"/>
          <w:b w:val="false"/>
          <w:i w:val="false"/>
          <w:color w:val="000000"/>
          <w:sz w:val="28"/>
        </w:rPr>
        <w:t>
      3. Для целей управления рисками при осуществлении профилактического контроля с посещением субъекта (объекта) контроля и (или) проверки в области аудиторской деятельности на соответствие требованиям, критерии оценки степени риска для проведения проверки на соответствие требованиям и профилактического контроля субъектов (объектов) контроля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27"/>
    <w:bookmarkStart w:name="z37" w:id="28"/>
    <w:p>
      <w:pPr>
        <w:spacing w:after="0"/>
        <w:ind w:left="0"/>
        <w:jc w:val="both"/>
      </w:pPr>
      <w:r>
        <w:rPr>
          <w:rFonts w:ascii="Times New Roman"/>
          <w:b w:val="false"/>
          <w:i w:val="false"/>
          <w:color w:val="000000"/>
          <w:sz w:val="28"/>
        </w:rPr>
        <w:t>
      На первом этапе субъектов (объектов) контроля по объективным критериям относят к одной из следующих степеней риска:</w:t>
      </w:r>
    </w:p>
    <w:bookmarkEnd w:id="28"/>
    <w:bookmarkStart w:name="z38" w:id="29"/>
    <w:p>
      <w:pPr>
        <w:spacing w:after="0"/>
        <w:ind w:left="0"/>
        <w:jc w:val="both"/>
      </w:pPr>
      <w:r>
        <w:rPr>
          <w:rFonts w:ascii="Times New Roman"/>
          <w:b w:val="false"/>
          <w:i w:val="false"/>
          <w:color w:val="000000"/>
          <w:sz w:val="28"/>
        </w:rPr>
        <w:t>
      1) высокий риск;</w:t>
      </w:r>
    </w:p>
    <w:bookmarkEnd w:id="29"/>
    <w:bookmarkStart w:name="z39" w:id="30"/>
    <w:p>
      <w:pPr>
        <w:spacing w:after="0"/>
        <w:ind w:left="0"/>
        <w:jc w:val="both"/>
      </w:pPr>
      <w:r>
        <w:rPr>
          <w:rFonts w:ascii="Times New Roman"/>
          <w:b w:val="false"/>
          <w:i w:val="false"/>
          <w:color w:val="000000"/>
          <w:sz w:val="28"/>
        </w:rPr>
        <w:t>
      2) средний риск.</w:t>
      </w:r>
    </w:p>
    <w:bookmarkEnd w:id="30"/>
    <w:bookmarkStart w:name="z40" w:id="31"/>
    <w:p>
      <w:pPr>
        <w:spacing w:after="0"/>
        <w:ind w:left="0"/>
        <w:jc w:val="both"/>
      </w:pPr>
      <w:r>
        <w:rPr>
          <w:rFonts w:ascii="Times New Roman"/>
          <w:b w:val="false"/>
          <w:i w:val="false"/>
          <w:color w:val="000000"/>
          <w:sz w:val="28"/>
        </w:rPr>
        <w:t>
      В отношении субъектов (объектов) контроля, отнесенных к высокой и средней степени риска по объективным критериям, проводится проверка на соответствие требованиям, профилактический контроль с посещением субъекта (объекта) контроля и внеплановые проверки.</w:t>
      </w:r>
    </w:p>
    <w:bookmarkEnd w:id="31"/>
    <w:bookmarkStart w:name="z41" w:id="32"/>
    <w:p>
      <w:pPr>
        <w:spacing w:after="0"/>
        <w:ind w:left="0"/>
        <w:jc w:val="both"/>
      </w:pPr>
      <w:r>
        <w:rPr>
          <w:rFonts w:ascii="Times New Roman"/>
          <w:b w:val="false"/>
          <w:i w:val="false"/>
          <w:color w:val="000000"/>
          <w:sz w:val="28"/>
        </w:rPr>
        <w:t>
      На втором этапе субъектов (объектов) контроля по субъективным критериям относят к одной из следующих степеней риска:</w:t>
      </w:r>
    </w:p>
    <w:bookmarkEnd w:id="32"/>
    <w:bookmarkStart w:name="z42" w:id="33"/>
    <w:p>
      <w:pPr>
        <w:spacing w:after="0"/>
        <w:ind w:left="0"/>
        <w:jc w:val="both"/>
      </w:pPr>
      <w:r>
        <w:rPr>
          <w:rFonts w:ascii="Times New Roman"/>
          <w:b w:val="false"/>
          <w:i w:val="false"/>
          <w:color w:val="000000"/>
          <w:sz w:val="28"/>
        </w:rPr>
        <w:t>
      1) высокий риск;</w:t>
      </w:r>
    </w:p>
    <w:bookmarkEnd w:id="33"/>
    <w:bookmarkStart w:name="z43" w:id="34"/>
    <w:p>
      <w:pPr>
        <w:spacing w:after="0"/>
        <w:ind w:left="0"/>
        <w:jc w:val="both"/>
      </w:pPr>
      <w:r>
        <w:rPr>
          <w:rFonts w:ascii="Times New Roman"/>
          <w:b w:val="false"/>
          <w:i w:val="false"/>
          <w:color w:val="000000"/>
          <w:sz w:val="28"/>
        </w:rPr>
        <w:t>
      2) средний риск.</w:t>
      </w:r>
    </w:p>
    <w:bookmarkEnd w:id="34"/>
    <w:bookmarkStart w:name="z44" w:id="35"/>
    <w:p>
      <w:pPr>
        <w:spacing w:after="0"/>
        <w:ind w:left="0"/>
        <w:jc w:val="both"/>
      </w:pPr>
      <w:r>
        <w:rPr>
          <w:rFonts w:ascii="Times New Roman"/>
          <w:b w:val="false"/>
          <w:i w:val="false"/>
          <w:color w:val="000000"/>
          <w:sz w:val="28"/>
        </w:rPr>
        <w:t>
      По показателям степени риска по субъективным критериям субъект (объект) контроля относится:</w:t>
      </w:r>
    </w:p>
    <w:bookmarkEnd w:id="35"/>
    <w:bookmarkStart w:name="z45" w:id="36"/>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36"/>
    <w:bookmarkStart w:name="z46" w:id="37"/>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37"/>
    <w:bookmarkStart w:name="z47" w:id="38"/>
    <w:p>
      <w:pPr>
        <w:spacing w:after="0"/>
        <w:ind w:left="0"/>
        <w:jc w:val="both"/>
      </w:pPr>
      <w:r>
        <w:rPr>
          <w:rFonts w:ascii="Times New Roman"/>
          <w:b w:val="false"/>
          <w:i w:val="false"/>
          <w:color w:val="000000"/>
          <w:sz w:val="28"/>
        </w:rPr>
        <w:t>
      4.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требования, предъявляемые к деятельности субъектов (объектов) контроля, соответствуют степени нарушения – грубое, значительное и незначительное.</w:t>
      </w:r>
    </w:p>
    <w:bookmarkEnd w:id="38"/>
    <w:bookmarkStart w:name="z48" w:id="39"/>
    <w:p>
      <w:pPr>
        <w:spacing w:after="0"/>
        <w:ind w:left="0"/>
        <w:jc w:val="both"/>
      </w:pPr>
      <w:r>
        <w:rPr>
          <w:rFonts w:ascii="Times New Roman"/>
          <w:b w:val="false"/>
          <w:i w:val="false"/>
          <w:color w:val="000000"/>
          <w:sz w:val="28"/>
        </w:rPr>
        <w:t>
      Степень нарушения (грубое, значительное, незначительное) присваивается в соответствии с установленными определениями грубых, значительных, незначительных нарушений по субъективным критериям согласно приложениям 1 и 2 к настоящим Критериям.</w:t>
      </w:r>
    </w:p>
    <w:bookmarkEnd w:id="39"/>
    <w:bookmarkStart w:name="z49" w:id="40"/>
    <w:p>
      <w:pPr>
        <w:spacing w:after="0"/>
        <w:ind w:left="0"/>
        <w:jc w:val="both"/>
      </w:pPr>
      <w:r>
        <w:rPr>
          <w:rFonts w:ascii="Times New Roman"/>
          <w:b w:val="false"/>
          <w:i w:val="false"/>
          <w:color w:val="000000"/>
          <w:sz w:val="28"/>
        </w:rPr>
        <w:t>
      5. Критерии оценки степени риска для проведения проверки на соответствие требованиям и профилактического контроля субъектов (объектов) контроля в области аудиторской деятельности формируются посредством определения объективных и субъективных критериев.</w:t>
      </w:r>
    </w:p>
    <w:bookmarkEnd w:id="40"/>
    <w:bookmarkStart w:name="z50" w:id="41"/>
    <w:p>
      <w:pPr>
        <w:spacing w:after="0"/>
        <w:ind w:left="0"/>
        <w:jc w:val="left"/>
      </w:pPr>
      <w:r>
        <w:rPr>
          <w:rFonts w:ascii="Times New Roman"/>
          <w:b/>
          <w:i w:val="false"/>
          <w:color w:val="000000"/>
        </w:rPr>
        <w:t xml:space="preserve"> Параграф 1. Объективные критерии оценки степени риска</w:t>
      </w:r>
    </w:p>
    <w:bookmarkEnd w:id="41"/>
    <w:bookmarkStart w:name="z51" w:id="42"/>
    <w:p>
      <w:pPr>
        <w:spacing w:after="0"/>
        <w:ind w:left="0"/>
        <w:jc w:val="both"/>
      </w:pPr>
      <w:r>
        <w:rPr>
          <w:rFonts w:ascii="Times New Roman"/>
          <w:b w:val="false"/>
          <w:i w:val="false"/>
          <w:color w:val="000000"/>
          <w:sz w:val="28"/>
        </w:rPr>
        <w:t>
      6. Определение объективных критериев осуществляется посредством определения риска.</w:t>
      </w:r>
    </w:p>
    <w:bookmarkEnd w:id="42"/>
    <w:bookmarkStart w:name="z52" w:id="43"/>
    <w:p>
      <w:pPr>
        <w:spacing w:after="0"/>
        <w:ind w:left="0"/>
        <w:jc w:val="both"/>
      </w:pPr>
      <w:r>
        <w:rPr>
          <w:rFonts w:ascii="Times New Roman"/>
          <w:b w:val="false"/>
          <w:i w:val="false"/>
          <w:color w:val="000000"/>
          <w:sz w:val="28"/>
        </w:rPr>
        <w:t>
      7. После проведения анализа всех возможных рисков субъекты (объекты) контроля распределяются по двум степеням риска (высокая и средняя).</w:t>
      </w:r>
    </w:p>
    <w:bookmarkEnd w:id="43"/>
    <w:bookmarkStart w:name="z53" w:id="44"/>
    <w:p>
      <w:pPr>
        <w:spacing w:after="0"/>
        <w:ind w:left="0"/>
        <w:jc w:val="both"/>
      </w:pPr>
      <w:r>
        <w:rPr>
          <w:rFonts w:ascii="Times New Roman"/>
          <w:b w:val="false"/>
          <w:i w:val="false"/>
          <w:color w:val="000000"/>
          <w:sz w:val="28"/>
        </w:rPr>
        <w:t>
      8. По объективным критериям к субъектам контроля с высокой степенью риска относятся:</w:t>
      </w:r>
    </w:p>
    <w:bookmarkEnd w:id="44"/>
    <w:bookmarkStart w:name="z54" w:id="45"/>
    <w:p>
      <w:pPr>
        <w:spacing w:after="0"/>
        <w:ind w:left="0"/>
        <w:jc w:val="both"/>
      </w:pPr>
      <w:r>
        <w:rPr>
          <w:rFonts w:ascii="Times New Roman"/>
          <w:b w:val="false"/>
          <w:i w:val="false"/>
          <w:color w:val="000000"/>
          <w:sz w:val="28"/>
        </w:rPr>
        <w:t>
      1) аудиторские организации, которые проводят обязательный аудит;</w:t>
      </w:r>
    </w:p>
    <w:bookmarkEnd w:id="45"/>
    <w:bookmarkStart w:name="z55" w:id="46"/>
    <w:p>
      <w:pPr>
        <w:spacing w:after="0"/>
        <w:ind w:left="0"/>
        <w:jc w:val="both"/>
      </w:pPr>
      <w:r>
        <w:rPr>
          <w:rFonts w:ascii="Times New Roman"/>
          <w:b w:val="false"/>
          <w:i w:val="false"/>
          <w:color w:val="000000"/>
          <w:sz w:val="28"/>
        </w:rPr>
        <w:t>
      2) профессиональные аудиторские организации, членами которых являются аудиторские организации, которые проводят обязательный аудит.</w:t>
      </w:r>
    </w:p>
    <w:bookmarkEnd w:id="46"/>
    <w:bookmarkStart w:name="z56" w:id="47"/>
    <w:p>
      <w:pPr>
        <w:spacing w:after="0"/>
        <w:ind w:left="0"/>
        <w:jc w:val="both"/>
      </w:pPr>
      <w:r>
        <w:rPr>
          <w:rFonts w:ascii="Times New Roman"/>
          <w:b w:val="false"/>
          <w:i w:val="false"/>
          <w:color w:val="000000"/>
          <w:sz w:val="28"/>
        </w:rPr>
        <w:t>
      9. По объективным критериям к субъектам контроля со средней степенью риска относятся:</w:t>
      </w:r>
    </w:p>
    <w:bookmarkEnd w:id="47"/>
    <w:bookmarkStart w:name="z57" w:id="48"/>
    <w:p>
      <w:pPr>
        <w:spacing w:after="0"/>
        <w:ind w:left="0"/>
        <w:jc w:val="both"/>
      </w:pPr>
      <w:r>
        <w:rPr>
          <w:rFonts w:ascii="Times New Roman"/>
          <w:b w:val="false"/>
          <w:i w:val="false"/>
          <w:color w:val="000000"/>
          <w:sz w:val="28"/>
        </w:rPr>
        <w:t>
      1) аудиторские организации, которые не проводят обязательный аудит;</w:t>
      </w:r>
    </w:p>
    <w:bookmarkEnd w:id="48"/>
    <w:bookmarkStart w:name="z58" w:id="49"/>
    <w:p>
      <w:pPr>
        <w:spacing w:after="0"/>
        <w:ind w:left="0"/>
        <w:jc w:val="both"/>
      </w:pPr>
      <w:r>
        <w:rPr>
          <w:rFonts w:ascii="Times New Roman"/>
          <w:b w:val="false"/>
          <w:i w:val="false"/>
          <w:color w:val="000000"/>
          <w:sz w:val="28"/>
        </w:rPr>
        <w:t>
      2) профессиональные организации, членами которых являются аудиторские организации, которые не проводят обязательный аудит.</w:t>
      </w:r>
    </w:p>
    <w:bookmarkEnd w:id="49"/>
    <w:bookmarkStart w:name="z59" w:id="50"/>
    <w:p>
      <w:pPr>
        <w:spacing w:after="0"/>
        <w:ind w:left="0"/>
        <w:jc w:val="left"/>
      </w:pPr>
      <w:r>
        <w:rPr>
          <w:rFonts w:ascii="Times New Roman"/>
          <w:b/>
          <w:i w:val="false"/>
          <w:color w:val="000000"/>
        </w:rPr>
        <w:t xml:space="preserve"> Параграф 2. Субъективные критерии оценки степени риска</w:t>
      </w:r>
    </w:p>
    <w:bookmarkEnd w:id="50"/>
    <w:bookmarkStart w:name="z60" w:id="51"/>
    <w:p>
      <w:pPr>
        <w:spacing w:after="0"/>
        <w:ind w:left="0"/>
        <w:jc w:val="both"/>
      </w:pPr>
      <w:r>
        <w:rPr>
          <w:rFonts w:ascii="Times New Roman"/>
          <w:b w:val="false"/>
          <w:i w:val="false"/>
          <w:color w:val="000000"/>
          <w:sz w:val="28"/>
        </w:rPr>
        <w:t>
      10. Определение субъективных критериев осуществляется с применением следующих этапов:</w:t>
      </w:r>
    </w:p>
    <w:bookmarkEnd w:id="51"/>
    <w:bookmarkStart w:name="z61" w:id="52"/>
    <w:p>
      <w:pPr>
        <w:spacing w:after="0"/>
        <w:ind w:left="0"/>
        <w:jc w:val="both"/>
      </w:pPr>
      <w:r>
        <w:rPr>
          <w:rFonts w:ascii="Times New Roman"/>
          <w:b w:val="false"/>
          <w:i w:val="false"/>
          <w:color w:val="000000"/>
          <w:sz w:val="28"/>
        </w:rPr>
        <w:t>
      1) формирование базы данных и сбор информации;</w:t>
      </w:r>
    </w:p>
    <w:bookmarkEnd w:id="52"/>
    <w:bookmarkStart w:name="z62" w:id="53"/>
    <w:p>
      <w:pPr>
        <w:spacing w:after="0"/>
        <w:ind w:left="0"/>
        <w:jc w:val="both"/>
      </w:pPr>
      <w:r>
        <w:rPr>
          <w:rFonts w:ascii="Times New Roman"/>
          <w:b w:val="false"/>
          <w:i w:val="false"/>
          <w:color w:val="000000"/>
          <w:sz w:val="28"/>
        </w:rPr>
        <w:t>
      2) анализ информации и оценка рисков.</w:t>
      </w:r>
    </w:p>
    <w:bookmarkEnd w:id="53"/>
    <w:bookmarkStart w:name="z63" w:id="54"/>
    <w:p>
      <w:pPr>
        <w:spacing w:after="0"/>
        <w:ind w:left="0"/>
        <w:jc w:val="both"/>
      </w:pPr>
      <w:r>
        <w:rPr>
          <w:rFonts w:ascii="Times New Roman"/>
          <w:b w:val="false"/>
          <w:i w:val="false"/>
          <w:color w:val="000000"/>
          <w:sz w:val="28"/>
        </w:rPr>
        <w:t>
      11. Формирование базы данных и сбор информации необходимы для выявления субъектов (объектов) контроля, нарушающих законодательство Республики Казахстан об аудиторской деятельности.</w:t>
      </w:r>
    </w:p>
    <w:bookmarkEnd w:id="54"/>
    <w:bookmarkStart w:name="z64" w:id="55"/>
    <w:p>
      <w:pPr>
        <w:spacing w:after="0"/>
        <w:ind w:left="0"/>
        <w:jc w:val="both"/>
      </w:pPr>
      <w:r>
        <w:rPr>
          <w:rFonts w:ascii="Times New Roman"/>
          <w:b w:val="false"/>
          <w:i w:val="false"/>
          <w:color w:val="000000"/>
          <w:sz w:val="28"/>
        </w:rPr>
        <w:t>
      Для оценки степени рисков по субъективным критериям для проведения профилактического контроля с посещением субъекта (объекта) контроля используются следующие источники информации:</w:t>
      </w:r>
    </w:p>
    <w:bookmarkEnd w:id="55"/>
    <w:bookmarkStart w:name="z65" w:id="56"/>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 в том числе в уполномоченный орган с использованием депозитария финансовой отчетности (далее – депозитарий);</w:t>
      </w:r>
    </w:p>
    <w:bookmarkEnd w:id="56"/>
    <w:bookmarkStart w:name="z66" w:id="57"/>
    <w:p>
      <w:pPr>
        <w:spacing w:after="0"/>
        <w:ind w:left="0"/>
        <w:jc w:val="both"/>
      </w:pPr>
      <w:r>
        <w:rPr>
          <w:rFonts w:ascii="Times New Roman"/>
          <w:b w:val="false"/>
          <w:i w:val="false"/>
          <w:color w:val="000000"/>
          <w:sz w:val="28"/>
        </w:rPr>
        <w:t>
      2) результаты предыдущих проверок и профилактического контроля с посещением субъектов (объектов) контроля.</w:t>
      </w:r>
    </w:p>
    <w:bookmarkEnd w:id="57"/>
    <w:bookmarkStart w:name="z67" w:id="58"/>
    <w:p>
      <w:pPr>
        <w:spacing w:after="0"/>
        <w:ind w:left="0"/>
        <w:jc w:val="both"/>
      </w:pPr>
      <w:r>
        <w:rPr>
          <w:rFonts w:ascii="Times New Roman"/>
          <w:b w:val="false"/>
          <w:i w:val="false"/>
          <w:color w:val="000000"/>
          <w:sz w:val="28"/>
        </w:rPr>
        <w:t>
      Для оценки степени рисков по субъективным критериям для проведения проверки на соответствие требованиям используются следующие источники информации:</w:t>
      </w:r>
    </w:p>
    <w:bookmarkEnd w:id="58"/>
    <w:bookmarkStart w:name="z68" w:id="59"/>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 в том числе в уполномоченный орган с использованием депозитария;</w:t>
      </w:r>
    </w:p>
    <w:bookmarkEnd w:id="59"/>
    <w:bookmarkStart w:name="z69" w:id="60"/>
    <w:p>
      <w:pPr>
        <w:spacing w:after="0"/>
        <w:ind w:left="0"/>
        <w:jc w:val="both"/>
      </w:pPr>
      <w:r>
        <w:rPr>
          <w:rFonts w:ascii="Times New Roman"/>
          <w:b w:val="false"/>
          <w:i w:val="false"/>
          <w:color w:val="000000"/>
          <w:sz w:val="28"/>
        </w:rPr>
        <w:t>
      2) результаты предыдущих проверок субъектов (объектов) контроля.</w:t>
      </w:r>
    </w:p>
    <w:bookmarkEnd w:id="60"/>
    <w:bookmarkStart w:name="z70" w:id="61"/>
    <w:p>
      <w:pPr>
        <w:spacing w:after="0"/>
        <w:ind w:left="0"/>
        <w:jc w:val="both"/>
      </w:pPr>
      <w:r>
        <w:rPr>
          <w:rFonts w:ascii="Times New Roman"/>
          <w:b w:val="false"/>
          <w:i w:val="false"/>
          <w:color w:val="000000"/>
          <w:sz w:val="28"/>
        </w:rPr>
        <w:t>
      12. На основании имеющихся источников информации, уполномоченный орган в области аудиторской деятельности формирует данные по субъективным критериям, подлежащие анализу и оценке.</w:t>
      </w:r>
    </w:p>
    <w:bookmarkEnd w:id="61"/>
    <w:bookmarkStart w:name="z71" w:id="62"/>
    <w:p>
      <w:pPr>
        <w:spacing w:after="0"/>
        <w:ind w:left="0"/>
        <w:jc w:val="both"/>
      </w:pPr>
      <w:r>
        <w:rPr>
          <w:rFonts w:ascii="Times New Roman"/>
          <w:b w:val="false"/>
          <w:i w:val="false"/>
          <w:color w:val="000000"/>
          <w:sz w:val="28"/>
        </w:rPr>
        <w:t>
      13.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(объекта) контроля в отношении субъекта (объекта) контроля с наибольшим потенциальным риском.</w:t>
      </w:r>
    </w:p>
    <w:bookmarkEnd w:id="62"/>
    <w:bookmarkStart w:name="z72" w:id="63"/>
    <w:p>
      <w:pPr>
        <w:spacing w:after="0"/>
        <w:ind w:left="0"/>
        <w:jc w:val="both"/>
      </w:pPr>
      <w:r>
        <w:rPr>
          <w:rFonts w:ascii="Times New Roman"/>
          <w:b w:val="false"/>
          <w:i w:val="false"/>
          <w:color w:val="000000"/>
          <w:sz w:val="28"/>
        </w:rPr>
        <w:t>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63"/>
    <w:bookmarkStart w:name="z73" w:id="64"/>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требованиям, не допускается включение их при формировании графиков и списков на очередной период государственного контроля.</w:t>
      </w:r>
    </w:p>
    <w:bookmarkEnd w:id="64"/>
    <w:bookmarkStart w:name="z74" w:id="65"/>
    <w:p>
      <w:pPr>
        <w:spacing w:after="0"/>
        <w:ind w:left="0"/>
        <w:jc w:val="both"/>
      </w:pPr>
      <w:r>
        <w:rPr>
          <w:rFonts w:ascii="Times New Roman"/>
          <w:b w:val="false"/>
          <w:i w:val="false"/>
          <w:color w:val="000000"/>
          <w:sz w:val="28"/>
        </w:rPr>
        <w:t>
      14. Исходя из приоритетности применяемых источников информации и значимости показателей субъективных критериев, в соответствии с порядком расчета общего показателя степени риска по субъективным критериям, определенном в главе 3 настоящих Критериев, рассчитывается показатель степени риска по субъективным критериям по шкале от 0 до 100.</w:t>
      </w:r>
    </w:p>
    <w:bookmarkEnd w:id="65"/>
    <w:bookmarkStart w:name="z75" w:id="66"/>
    <w:p>
      <w:pPr>
        <w:spacing w:after="0"/>
        <w:ind w:left="0"/>
        <w:jc w:val="both"/>
      </w:pPr>
      <w:r>
        <w:rPr>
          <w:rFonts w:ascii="Times New Roman"/>
          <w:b w:val="false"/>
          <w:i w:val="false"/>
          <w:color w:val="000000"/>
          <w:sz w:val="28"/>
        </w:rPr>
        <w:t>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 по форме согласно приложениям 3 и 4 к настоящим Критериям.</w:t>
      </w:r>
    </w:p>
    <w:bookmarkEnd w:id="66"/>
    <w:bookmarkStart w:name="z76" w:id="67"/>
    <w:p>
      <w:pPr>
        <w:spacing w:after="0"/>
        <w:ind w:left="0"/>
        <w:jc w:val="left"/>
      </w:pPr>
      <w:r>
        <w:rPr>
          <w:rFonts w:ascii="Times New Roman"/>
          <w:b/>
          <w:i w:val="false"/>
          <w:color w:val="000000"/>
        </w:rPr>
        <w:t xml:space="preserve"> Параграф 3. Управление рисками</w:t>
      </w:r>
    </w:p>
    <w:bookmarkEnd w:id="67"/>
    <w:bookmarkStart w:name="z77" w:id="68"/>
    <w:p>
      <w:pPr>
        <w:spacing w:after="0"/>
        <w:ind w:left="0"/>
        <w:jc w:val="both"/>
      </w:pPr>
      <w:r>
        <w:rPr>
          <w:rFonts w:ascii="Times New Roman"/>
          <w:b w:val="false"/>
          <w:i w:val="false"/>
          <w:color w:val="000000"/>
          <w:sz w:val="28"/>
        </w:rPr>
        <w:t>
      15. В целях реализации принципа поощрения добросовестных субъектов контроля и концентрации контроля на нарушителях субъекты (объекты) контроля освобождаются от проведения профилактического контроля с посещением субъекта (объекта) контроля и (или) проверки на соответствие требованиям на период, определяемый критериями оценки степени риска.</w:t>
      </w:r>
    </w:p>
    <w:bookmarkEnd w:id="68"/>
    <w:bookmarkStart w:name="z78" w:id="69"/>
    <w:p>
      <w:pPr>
        <w:spacing w:after="0"/>
        <w:ind w:left="0"/>
        <w:jc w:val="both"/>
      </w:pPr>
      <w:r>
        <w:rPr>
          <w:rFonts w:ascii="Times New Roman"/>
          <w:b w:val="false"/>
          <w:i w:val="false"/>
          <w:color w:val="000000"/>
          <w:sz w:val="28"/>
        </w:rPr>
        <w:t>
      16. Освобождение от профилактического контроля с посещением субъекта (объекта) контроля и (или) проведения проверки на соответствие требованиям возможно на основании применяемых альтернативных (независимых) систем оценки и анализа рисков, аудита, экспертиз в соответствии с критериями оценки степени риска, если такие основания предусмотрены в международных договорах, ратифицированных Республикой Казахстан.</w:t>
      </w:r>
    </w:p>
    <w:bookmarkEnd w:id="69"/>
    <w:bookmarkStart w:name="z79" w:id="70"/>
    <w:p>
      <w:pPr>
        <w:spacing w:after="0"/>
        <w:ind w:left="0"/>
        <w:jc w:val="left"/>
      </w:pPr>
      <w:r>
        <w:rPr>
          <w:rFonts w:ascii="Times New Roman"/>
          <w:b/>
          <w:i w:val="false"/>
          <w:color w:val="000000"/>
        </w:rPr>
        <w:t xml:space="preserve"> Глава 3. Порядок расчета общего показателя степени риска по субъективным критериям</w:t>
      </w:r>
    </w:p>
    <w:bookmarkEnd w:id="70"/>
    <w:bookmarkStart w:name="z80" w:id="71"/>
    <w:p>
      <w:pPr>
        <w:spacing w:after="0"/>
        <w:ind w:left="0"/>
        <w:jc w:val="both"/>
      </w:pPr>
      <w:r>
        <w:rPr>
          <w:rFonts w:ascii="Times New Roman"/>
          <w:b w:val="false"/>
          <w:i w:val="false"/>
          <w:color w:val="000000"/>
          <w:sz w:val="28"/>
        </w:rPr>
        <w:t>
      17. Для отнесения субъекта контроля к степени риска в соответствии с пунктом 3 настоящих Критерий применяется следующий порядок расчета показателя степени риска.</w:t>
      </w:r>
    </w:p>
    <w:bookmarkEnd w:id="71"/>
    <w:bookmarkStart w:name="z81" w:id="72"/>
    <w:p>
      <w:pPr>
        <w:spacing w:after="0"/>
        <w:ind w:left="0"/>
        <w:jc w:val="both"/>
      </w:pPr>
      <w:r>
        <w:rPr>
          <w:rFonts w:ascii="Times New Roman"/>
          <w:b w:val="false"/>
          <w:i w:val="false"/>
          <w:color w:val="000000"/>
          <w:sz w:val="28"/>
        </w:rPr>
        <w:t>
      Уполномоченный орган в области аудиторской деятельности собирает информацию и формирует базу данных по субъективным критериям из источников в соответствии с пунктом 11 настоящих Критериев, в зависимости от проведения профилактического контроля с посещением субъекта (объекта) контроля и (или) проверки на соответствие требованиям.</w:t>
      </w:r>
    </w:p>
    <w:bookmarkEnd w:id="72"/>
    <w:bookmarkStart w:name="z82" w:id="73"/>
    <w:p>
      <w:pPr>
        <w:spacing w:after="0"/>
        <w:ind w:left="0"/>
        <w:jc w:val="both"/>
      </w:pPr>
      <w:r>
        <w:rPr>
          <w:rFonts w:ascii="Times New Roman"/>
          <w:b w:val="false"/>
          <w:i w:val="false"/>
          <w:color w:val="000000"/>
          <w:sz w:val="28"/>
        </w:rPr>
        <w:t>
      Расчет показателя степени риска по субъективным критериям (R) осуществляется в депозитарии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определенным в соответствии с пунктом 14 настоящих Критериев (SC), с последующей нормализацией значений данных в диапазон от 0 до 100 баллов.</w:t>
      </w:r>
    </w:p>
    <w:bookmarkEnd w:id="73"/>
    <w:bookmarkStart w:name="z83" w:id="74"/>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74"/>
    <w:bookmarkStart w:name="z84" w:id="75"/>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75"/>
    <w:bookmarkStart w:name="z85" w:id="76"/>
    <w:p>
      <w:pPr>
        <w:spacing w:after="0"/>
        <w:ind w:left="0"/>
        <w:jc w:val="both"/>
      </w:pPr>
      <w:r>
        <w:rPr>
          <w:rFonts w:ascii="Times New Roman"/>
          <w:b w:val="false"/>
          <w:i w:val="false"/>
          <w:color w:val="000000"/>
          <w:sz w:val="28"/>
        </w:rPr>
        <w:t>
      SР – показатель степени риска по нарушениям,</w:t>
      </w:r>
    </w:p>
    <w:bookmarkEnd w:id="76"/>
    <w:bookmarkStart w:name="z86" w:id="77"/>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14 настоящих Критериев.</w:t>
      </w:r>
    </w:p>
    <w:bookmarkEnd w:id="77"/>
    <w:bookmarkStart w:name="z87" w:id="78"/>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78"/>
    <w:bookmarkStart w:name="z88" w:id="79"/>
    <w:p>
      <w:pPr>
        <w:spacing w:after="0"/>
        <w:ind w:left="0"/>
        <w:jc w:val="both"/>
      </w:pPr>
      <w:r>
        <w:rPr>
          <w:rFonts w:ascii="Times New Roman"/>
          <w:b w:val="false"/>
          <w:i w:val="false"/>
          <w:color w:val="000000"/>
          <w:sz w:val="28"/>
        </w:rPr>
        <w:t>
      18.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bookmarkEnd w:id="79"/>
    <w:bookmarkStart w:name="z89" w:id="80"/>
    <w:p>
      <w:pPr>
        <w:spacing w:after="0"/>
        <w:ind w:left="0"/>
        <w:jc w:val="both"/>
      </w:pPr>
      <w:r>
        <w:rPr>
          <w:rFonts w:ascii="Times New Roman"/>
          <w:b w:val="false"/>
          <w:i w:val="false"/>
          <w:color w:val="000000"/>
          <w:sz w:val="28"/>
        </w:rPr>
        <w:t>
      При выявлении одного грубого нарушения по любому из источников информации, указанных в пункте 12 настоящих Критериев, субъекту контроля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(объекта) контроля.</w:t>
      </w:r>
    </w:p>
    <w:bookmarkEnd w:id="80"/>
    <w:bookmarkStart w:name="z90" w:id="81"/>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81"/>
    <w:bookmarkStart w:name="z91" w:id="82"/>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w:t>
      </w:r>
    </w:p>
    <w:bookmarkEnd w:id="82"/>
    <w:bookmarkStart w:name="z92" w:id="83"/>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83"/>
    <w:bookmarkStart w:name="z93" w:id="84"/>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где:</w:t>
      </w:r>
    </w:p>
    <w:bookmarkEnd w:id="84"/>
    <w:bookmarkStart w:name="z94" w:id="85"/>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85"/>
    <w:bookmarkStart w:name="z95" w:id="86"/>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86"/>
    <w:bookmarkStart w:name="z96" w:id="87"/>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87"/>
    <w:bookmarkStart w:name="z97" w:id="88"/>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88"/>
    <w:bookmarkStart w:name="z98" w:id="89"/>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89"/>
    <w:bookmarkStart w:name="z99" w:id="90"/>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 где:</w:t>
      </w:r>
    </w:p>
    <w:bookmarkEnd w:id="90"/>
    <w:bookmarkStart w:name="z100" w:id="91"/>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91"/>
    <w:bookmarkStart w:name="z101" w:id="92"/>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bookmarkEnd w:id="92"/>
    <w:bookmarkStart w:name="z102" w:id="93"/>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bookmarkEnd w:id="93"/>
    <w:bookmarkStart w:name="z103" w:id="94"/>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94"/>
    <w:bookmarkStart w:name="z104" w:id="95"/>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 где:</w:t>
      </w:r>
    </w:p>
    <w:bookmarkEnd w:id="95"/>
    <w:bookmarkStart w:name="z105" w:id="96"/>
    <w:p>
      <w:pPr>
        <w:spacing w:after="0"/>
        <w:ind w:left="0"/>
        <w:jc w:val="both"/>
      </w:pPr>
      <w:r>
        <w:rPr>
          <w:rFonts w:ascii="Times New Roman"/>
          <w:b w:val="false"/>
          <w:i w:val="false"/>
          <w:color w:val="000000"/>
          <w:sz w:val="28"/>
        </w:rPr>
        <w:t>
      SР – показатель степени риска по нарушениям;</w:t>
      </w:r>
    </w:p>
    <w:bookmarkEnd w:id="96"/>
    <w:bookmarkStart w:name="z106" w:id="97"/>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97"/>
    <w:bookmarkStart w:name="z107" w:id="98"/>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98"/>
    <w:bookmarkStart w:name="z108" w:id="99"/>
    <w:p>
      <w:pPr>
        <w:spacing w:after="0"/>
        <w:ind w:left="0"/>
        <w:jc w:val="both"/>
      </w:pPr>
      <w:r>
        <w:rPr>
          <w:rFonts w:ascii="Times New Roman"/>
          <w:b w:val="false"/>
          <w:i w:val="false"/>
          <w:color w:val="000000"/>
          <w:sz w:val="28"/>
        </w:rPr>
        <w:t>
      Полученное значение показателя степени риска по нарушениям включается в расчет показателя степени риска по субъективным критериям.</w:t>
      </w:r>
    </w:p>
    <w:bookmarkEnd w:id="99"/>
    <w:bookmarkStart w:name="z109" w:id="100"/>
    <w:p>
      <w:pPr>
        <w:spacing w:after="0"/>
        <w:ind w:left="0"/>
        <w:jc w:val="both"/>
      </w:pPr>
      <w:r>
        <w:rPr>
          <w:rFonts w:ascii="Times New Roman"/>
          <w:b w:val="false"/>
          <w:i w:val="false"/>
          <w:color w:val="000000"/>
          <w:sz w:val="28"/>
        </w:rPr>
        <w:t>
      19. Расчет показателя степени риска по субъективным критериям, определенным в соответствии с пунктом 14 настоящих Критериев, производится по шкале от 0 до 100 баллов и осуществляется по следующей формуле:</w:t>
      </w:r>
    </w:p>
    <w:bookmarkEnd w:id="1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 w:id="101"/>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101"/>
    <w:bookmarkStart w:name="z112" w:id="102"/>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bookmarkEnd w:id="102"/>
    <w:bookmarkStart w:name="z113" w:id="103"/>
    <w:p>
      <w:pPr>
        <w:spacing w:after="0"/>
        <w:ind w:left="0"/>
        <w:jc w:val="both"/>
      </w:pPr>
      <w:r>
        <w:rPr>
          <w:rFonts w:ascii="Times New Roman"/>
          <w:b w:val="false"/>
          <w:i w:val="false"/>
          <w:color w:val="000000"/>
          <w:sz w:val="28"/>
        </w:rPr>
        <w:t>
      n – количество показателей.</w:t>
      </w:r>
    </w:p>
    <w:bookmarkEnd w:id="103"/>
    <w:bookmarkStart w:name="z114" w:id="104"/>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определенным в соответствии с пунктом 14 настоящих Критериев, включается в расчет показателя степени риска по субъективным критериям.</w:t>
      </w:r>
    </w:p>
    <w:bookmarkEnd w:id="104"/>
    <w:bookmarkStart w:name="z115" w:id="105"/>
    <w:p>
      <w:pPr>
        <w:spacing w:after="0"/>
        <w:ind w:left="0"/>
        <w:jc w:val="both"/>
      </w:pPr>
      <w:r>
        <w:rPr>
          <w:rFonts w:ascii="Times New Roman"/>
          <w:b w:val="false"/>
          <w:i w:val="false"/>
          <w:color w:val="000000"/>
          <w:sz w:val="28"/>
        </w:rPr>
        <w:t>
      20.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1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 w:id="106"/>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106"/>
    <w:bookmarkStart w:name="z118" w:id="107"/>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107"/>
    <w:bookmarkStart w:name="z119" w:id="108"/>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108"/>
    <w:bookmarkStart w:name="z120" w:id="109"/>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пунктом 17 настоящих Критериев.</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аудиторской</w:t>
            </w:r>
            <w:r>
              <w:br/>
            </w:r>
            <w:r>
              <w:rPr>
                <w:rFonts w:ascii="Times New Roman"/>
                <w:b w:val="false"/>
                <w:i w:val="false"/>
                <w:color w:val="000000"/>
                <w:sz w:val="20"/>
              </w:rPr>
              <w:t>деятельности</w:t>
            </w:r>
          </w:p>
        </w:tc>
      </w:tr>
    </w:tbl>
    <w:bookmarkStart w:name="z122" w:id="110"/>
    <w:p>
      <w:pPr>
        <w:spacing w:after="0"/>
        <w:ind w:left="0"/>
        <w:jc w:val="left"/>
      </w:pPr>
      <w:r>
        <w:rPr>
          <w:rFonts w:ascii="Times New Roman"/>
          <w:b/>
          <w:i w:val="false"/>
          <w:color w:val="000000"/>
        </w:rPr>
        <w:t xml:space="preserve"> Степени нарушений требований нормативных правовых актов для проведения профилактического контроля</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при несоблюдении, которых устанавливается степень тяжести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аудиторским организациям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или своевременное предоставление в уполномоченный орган отчета о соответствии квалификационным требованиям к аудиторской деятельности (ежегодный отчет до 1 марта года, следующего за отчетным периодом)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или своевременное предоставление в уполномоченный орган отчета по основным показателям деятельности аудиторских организаций (ежеквартальный отчет до 15 числа месяца, следующего за отчетным периодом)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или своевременное предоставление в уполномоченный орган информации по страхованию гражданско-правовой ответственности (в течение 15 (пятнадцати) рабочих дней с даты заключения договора обязательного страхования гражданско-правовой ответственности)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профилю своей деятельности:</w:t>
            </w:r>
          </w:p>
          <w:p>
            <w:pPr>
              <w:spacing w:after="20"/>
              <w:ind w:left="20"/>
              <w:jc w:val="both"/>
            </w:pPr>
            <w:r>
              <w:rPr>
                <w:rFonts w:ascii="Times New Roman"/>
                <w:b w:val="false"/>
                <w:i w:val="false"/>
                <w:color w:val="000000"/>
                <w:sz w:val="20"/>
              </w:rPr>
              <w:t>сопутствующие и другие услуги по стандартам аудита;</w:t>
            </w:r>
          </w:p>
          <w:p>
            <w:pPr>
              <w:spacing w:after="20"/>
              <w:ind w:left="20"/>
              <w:jc w:val="both"/>
            </w:pPr>
            <w:r>
              <w:rPr>
                <w:rFonts w:ascii="Times New Roman"/>
                <w:b w:val="false"/>
                <w:i w:val="false"/>
                <w:color w:val="000000"/>
                <w:sz w:val="20"/>
              </w:rPr>
              <w:t>восстановление и ведение бухгалтерского учета, составление финансовой отчетности;</w:t>
            </w:r>
          </w:p>
          <w:p>
            <w:pPr>
              <w:spacing w:after="20"/>
              <w:ind w:left="20"/>
              <w:jc w:val="both"/>
            </w:pPr>
            <w:r>
              <w:rPr>
                <w:rFonts w:ascii="Times New Roman"/>
                <w:b w:val="false"/>
                <w:i w:val="false"/>
                <w:color w:val="000000"/>
                <w:sz w:val="20"/>
              </w:rPr>
              <w:t>внутренний аудит;</w:t>
            </w:r>
          </w:p>
          <w:p>
            <w:pPr>
              <w:spacing w:after="20"/>
              <w:ind w:left="20"/>
              <w:jc w:val="both"/>
            </w:pPr>
            <w:r>
              <w:rPr>
                <w:rFonts w:ascii="Times New Roman"/>
                <w:b w:val="false"/>
                <w:i w:val="false"/>
                <w:color w:val="000000"/>
                <w:sz w:val="20"/>
              </w:rPr>
              <w:t>консультирование по вопросам применения законодательства по налогам и другим обязательным платежам в бюджет и ведения налогового учета;</w:t>
            </w:r>
          </w:p>
          <w:p>
            <w:pPr>
              <w:spacing w:after="20"/>
              <w:ind w:left="20"/>
              <w:jc w:val="both"/>
            </w:pPr>
            <w:r>
              <w:rPr>
                <w:rFonts w:ascii="Times New Roman"/>
                <w:b w:val="false"/>
                <w:i w:val="false"/>
                <w:color w:val="000000"/>
                <w:sz w:val="20"/>
              </w:rPr>
              <w:t>проведение аудита по налогам и составление аудиторского заключения по налогам;</w:t>
            </w:r>
          </w:p>
          <w:p>
            <w:pPr>
              <w:spacing w:after="20"/>
              <w:ind w:left="20"/>
              <w:jc w:val="both"/>
            </w:pPr>
            <w:r>
              <w:rPr>
                <w:rFonts w:ascii="Times New Roman"/>
                <w:b w:val="false"/>
                <w:i w:val="false"/>
                <w:color w:val="000000"/>
                <w:sz w:val="20"/>
              </w:rPr>
              <w:t>проведение аудита специального назначения субъектов квазигосударственного сектора;</w:t>
            </w:r>
          </w:p>
          <w:p>
            <w:pPr>
              <w:spacing w:after="20"/>
              <w:ind w:left="20"/>
              <w:jc w:val="both"/>
            </w:pPr>
            <w:r>
              <w:rPr>
                <w:rFonts w:ascii="Times New Roman"/>
                <w:b w:val="false"/>
                <w:i w:val="false"/>
                <w:color w:val="000000"/>
                <w:sz w:val="20"/>
              </w:rPr>
              <w:t>проведение аудита сведений о расходах недропользователя; проведение аудита иной информации и составление аудиторского заключения по аудиту иной информации;</w:t>
            </w:r>
          </w:p>
          <w:p>
            <w:pPr>
              <w:spacing w:after="20"/>
              <w:ind w:left="20"/>
              <w:jc w:val="both"/>
            </w:pPr>
            <w:r>
              <w:rPr>
                <w:rFonts w:ascii="Times New Roman"/>
                <w:b w:val="false"/>
                <w:i w:val="false"/>
                <w:color w:val="000000"/>
                <w:sz w:val="20"/>
              </w:rPr>
              <w:t>формирование первичных статистических данных;</w:t>
            </w:r>
          </w:p>
          <w:p>
            <w:pPr>
              <w:spacing w:after="20"/>
              <w:ind w:left="20"/>
              <w:jc w:val="both"/>
            </w:pPr>
            <w:r>
              <w:rPr>
                <w:rFonts w:ascii="Times New Roman"/>
                <w:b w:val="false"/>
                <w:i w:val="false"/>
                <w:color w:val="000000"/>
                <w:sz w:val="20"/>
              </w:rPr>
              <w:t>анализ финансово-хозяйственной деятельности и финансовое планирование, экономическое, финансовое и управленческое консультирование;</w:t>
            </w:r>
          </w:p>
          <w:p>
            <w:pPr>
              <w:spacing w:after="20"/>
              <w:ind w:left="20"/>
              <w:jc w:val="both"/>
            </w:pPr>
            <w:r>
              <w:rPr>
                <w:rFonts w:ascii="Times New Roman"/>
                <w:b w:val="false"/>
                <w:i w:val="false"/>
                <w:color w:val="000000"/>
                <w:sz w:val="20"/>
              </w:rPr>
              <w:t>консультирование по вопросам ведения бухгалтерского учета и составления финансовой отчетности;</w:t>
            </w:r>
          </w:p>
          <w:p>
            <w:pPr>
              <w:spacing w:after="20"/>
              <w:ind w:left="20"/>
              <w:jc w:val="both"/>
            </w:pPr>
            <w:r>
              <w:rPr>
                <w:rFonts w:ascii="Times New Roman"/>
                <w:b w:val="false"/>
                <w:i w:val="false"/>
                <w:color w:val="000000"/>
                <w:sz w:val="20"/>
              </w:rPr>
              <w:t>обучение по ведению бухгалтерского учета и составлению финансовой отчетности, налогообложению, аудиту и анализу финансово-хозяйственной деятельности и финансового планирования;</w:t>
            </w:r>
          </w:p>
          <w:p>
            <w:pPr>
              <w:spacing w:after="20"/>
              <w:ind w:left="20"/>
              <w:jc w:val="both"/>
            </w:pPr>
            <w:r>
              <w:rPr>
                <w:rFonts w:ascii="Times New Roman"/>
                <w:b w:val="false"/>
                <w:i w:val="false"/>
                <w:color w:val="000000"/>
                <w:sz w:val="20"/>
              </w:rPr>
              <w:t>рекомендации по автоматизации ведения бухгалтерского учета и составлению финансовой отчетности, обучение автоматизированному ведению бухгалтерского учета и составлению финансовой отчетности;</w:t>
            </w:r>
          </w:p>
          <w:p>
            <w:pPr>
              <w:spacing w:after="20"/>
              <w:ind w:left="20"/>
              <w:jc w:val="both"/>
            </w:pPr>
            <w:r>
              <w:rPr>
                <w:rFonts w:ascii="Times New Roman"/>
                <w:b w:val="false"/>
                <w:i w:val="false"/>
                <w:color w:val="000000"/>
                <w:sz w:val="20"/>
              </w:rPr>
              <w:t>разработку методических пособий и рекомендаций по ведению бухгалтерского учета и составлению финансовой отчетности, аудиту, анализу финансово-хозяйственной деятельности и финансового планирования, оказанию сопутствующих услуг по стандартам аудита, а также их распространение;</w:t>
            </w:r>
          </w:p>
          <w:p>
            <w:pPr>
              <w:spacing w:after="20"/>
              <w:ind w:left="20"/>
              <w:jc w:val="both"/>
            </w:pPr>
            <w:r>
              <w:rPr>
                <w:rFonts w:ascii="Times New Roman"/>
                <w:b w:val="false"/>
                <w:i w:val="false"/>
                <w:color w:val="000000"/>
                <w:sz w:val="20"/>
              </w:rPr>
              <w:t>юридические услуги, связанные с аудиторской деятельностью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вступление аудиторской организации в профессиональную аудиторскую организацию в течение одного месяца со дня получения лицензии на осуществление аудиторской деятельности, или добровольного выхода или исключения, а также при лишении аккредитации профессиональной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страхования гражданско-правовой ответственности по обязательствам, возникающим вследствие причинения имущественного вреда при осуществлении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проведение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договоре на проведение аудита и (или) предоставление сопутствующих и других услуг по стандартам аудита предусматриваются: предмет договора, сроки, размер и условия оплаты, права, обязанности и ответственность сторон, конфиденциальность полученной информации, а также членство в профессиональной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аудируемому субъекту информации о выявленных нарушениях в ведении бухгалтерского учета, финансовой отчетности и прочей информации, связанной с финансовой отчетностью (в том числе в государственных учреждениях)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аудиторской организацией ограничений права на проведение аудита, аудита по налогам, аудита специального назначения субъектов квазигосударственного сектора, аудита иной информации организациям, с которыми за последние три года был заключен договор страхования гражданско-правовой ответственности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аудиторской организацией запрета на проведение аудита, аудита по налогам, аудита специального назначения субъектов квазигосударственного сектора, аудита иной информации организаций, которым за последние три года были предоставлены услуги по восстановлению и ведению бухгалтерского учета, составлению финансовой отчетности и (или) по внутреннему аудиту (в части бухгалтерского учета и (или) финансовой отчетности)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в части фиксирования сведений, хранения сведений и документов, защиты документов; своевременное предоставление или непредоставление информации об операциях с деньгами и (или) имуществом, подлежащих финансовому мониторингу; принятие мер по надлежащей проверке клиентов (их представителей) и бенефициарных собственников; принятие мер по замораживанию операций с деньгами и (или) иным имуществом и (или) предоставления информации о мерах по замораживанию операций с деньгами и (или) иным имуществом; исполнение обязанностей по отказу клиенту в установлении деловых отношений и проведении операций с деньгами и (или) иным имуществом и (или) предоставлению информации об отказах в установлении деловых отношений и проведении операций с деньгами и (или) иным имуществом; исполнение программы подготовки и обучения в сфере противодействия легализации (отмыванию) доходов, полученных преступным путем, и финансированию терроризма, утвержденной правилами внутреннего контроля; соблюдение требований по не извещению своих клиентов и иных лиц о предоставлении в уполномоченный орган по финансовому мониторингу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достоверности аудиторского отчета аудиторами и аудиторскими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стандартов аудита, Кодекса этики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обязательного аудита аудиторской организацией, соответствующей минимальным требованиям:</w:t>
            </w:r>
          </w:p>
          <w:p>
            <w:pPr>
              <w:spacing w:after="20"/>
              <w:ind w:left="20"/>
              <w:jc w:val="both"/>
            </w:pPr>
            <w:r>
              <w:rPr>
                <w:rFonts w:ascii="Times New Roman"/>
                <w:b w:val="false"/>
                <w:i w:val="false"/>
                <w:color w:val="000000"/>
                <w:sz w:val="20"/>
              </w:rPr>
              <w:t>1) по организациям:</w:t>
            </w:r>
          </w:p>
          <w:p>
            <w:pPr>
              <w:spacing w:after="20"/>
              <w:ind w:left="20"/>
              <w:jc w:val="both"/>
            </w:pPr>
            <w:r>
              <w:rPr>
                <w:rFonts w:ascii="Times New Roman"/>
                <w:b w:val="false"/>
                <w:i w:val="false"/>
                <w:color w:val="000000"/>
                <w:sz w:val="20"/>
              </w:rPr>
              <w:t>наличие заключения профессионального совета и (или) заключения аккредитованной профессиональной аудиторской организации, членом которой является аудиторская организация, подтверждающего соблюдение аудиторской организацией требований международных стандартов аудита и Кодекса этики по результатам проведенного внешнего контроля качества;</w:t>
            </w:r>
          </w:p>
          <w:p>
            <w:pPr>
              <w:spacing w:after="20"/>
              <w:ind w:left="20"/>
              <w:jc w:val="both"/>
            </w:pPr>
            <w:r>
              <w:rPr>
                <w:rFonts w:ascii="Times New Roman"/>
                <w:b w:val="false"/>
                <w:i w:val="false"/>
                <w:color w:val="000000"/>
                <w:sz w:val="20"/>
              </w:rPr>
              <w:t>отсутствие, в течение последнего 1 (одного) года до даты заключения договора на оказание аудиторских услуг административных взысканий;</w:t>
            </w:r>
          </w:p>
          <w:p>
            <w:pPr>
              <w:spacing w:after="20"/>
              <w:ind w:left="20"/>
              <w:jc w:val="both"/>
            </w:pPr>
            <w:r>
              <w:rPr>
                <w:rFonts w:ascii="Times New Roman"/>
                <w:b w:val="false"/>
                <w:i w:val="false"/>
                <w:color w:val="000000"/>
                <w:sz w:val="20"/>
              </w:rPr>
              <w:t>наличие договора страхования гражданско-правовой ответственности аудиторской организации;</w:t>
            </w:r>
          </w:p>
          <w:p>
            <w:pPr>
              <w:spacing w:after="20"/>
              <w:ind w:left="20"/>
              <w:jc w:val="both"/>
            </w:pPr>
            <w:r>
              <w:rPr>
                <w:rFonts w:ascii="Times New Roman"/>
                <w:b w:val="false"/>
                <w:i w:val="false"/>
                <w:color w:val="000000"/>
                <w:sz w:val="20"/>
              </w:rPr>
              <w:t>подлежит ротации в случае осуществления аудита одной организации, в том числе финансовой организации непрерывно на протяжении 7 (семи) лет.</w:t>
            </w:r>
          </w:p>
          <w:p>
            <w:pPr>
              <w:spacing w:after="20"/>
              <w:ind w:left="20"/>
              <w:jc w:val="both"/>
            </w:pPr>
            <w:r>
              <w:rPr>
                <w:rFonts w:ascii="Times New Roman"/>
                <w:b w:val="false"/>
                <w:i w:val="false"/>
                <w:color w:val="000000"/>
                <w:sz w:val="20"/>
              </w:rPr>
              <w:t>2) по национальным управляющим холдингам, национальным холдингам, национальным компаниям, недропользователям;</w:t>
            </w:r>
          </w:p>
          <w:p>
            <w:pPr>
              <w:spacing w:after="20"/>
              <w:ind w:left="20"/>
              <w:jc w:val="both"/>
            </w:pPr>
            <w:r>
              <w:rPr>
                <w:rFonts w:ascii="Times New Roman"/>
                <w:b w:val="false"/>
                <w:i w:val="false"/>
                <w:color w:val="000000"/>
                <w:sz w:val="20"/>
              </w:rPr>
              <w:t>срок занятия аудиторской деятельностью руководителя аудиторской организации не менее 5 (пяти) лет;</w:t>
            </w:r>
          </w:p>
          <w:p>
            <w:pPr>
              <w:spacing w:after="20"/>
              <w:ind w:left="20"/>
              <w:jc w:val="both"/>
            </w:pPr>
            <w:r>
              <w:rPr>
                <w:rFonts w:ascii="Times New Roman"/>
                <w:b w:val="false"/>
                <w:i w:val="false"/>
                <w:color w:val="000000"/>
                <w:sz w:val="20"/>
              </w:rPr>
              <w:t>наличие аудиторских отчетов по не менее 10 (десяти) аудируемым субъектам на соответствие международным стандартам финансовой отчетности;</w:t>
            </w:r>
          </w:p>
          <w:p>
            <w:pPr>
              <w:spacing w:after="20"/>
              <w:ind w:left="20"/>
              <w:jc w:val="both"/>
            </w:pPr>
            <w:r>
              <w:rPr>
                <w:rFonts w:ascii="Times New Roman"/>
                <w:b w:val="false"/>
                <w:i w:val="false"/>
                <w:color w:val="000000"/>
                <w:sz w:val="20"/>
              </w:rPr>
              <w:t>наличие не менее 2 (двух) специалистов, имеющих сертификат профессионального бухгалтера.</w:t>
            </w:r>
          </w:p>
          <w:p>
            <w:pPr>
              <w:spacing w:after="20"/>
              <w:ind w:left="20"/>
              <w:jc w:val="both"/>
            </w:pPr>
            <w:r>
              <w:rPr>
                <w:rFonts w:ascii="Times New Roman"/>
                <w:b w:val="false"/>
                <w:i w:val="false"/>
                <w:color w:val="000000"/>
                <w:sz w:val="20"/>
              </w:rPr>
              <w:t>3) по финансовым организациям, акционерному обществу "Банк Развития Казахстана" аудиторская организация имеет в составе:</w:t>
            </w:r>
          </w:p>
          <w:p>
            <w:pPr>
              <w:spacing w:after="20"/>
              <w:ind w:left="20"/>
              <w:jc w:val="both"/>
            </w:pPr>
            <w:r>
              <w:rPr>
                <w:rFonts w:ascii="Times New Roman"/>
                <w:b w:val="false"/>
                <w:i w:val="false"/>
                <w:color w:val="000000"/>
                <w:sz w:val="20"/>
              </w:rPr>
              <w:t>специалиста, который является руководителем группы, имеющего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квалификационное свидетельство "аудитор" с опытом работы в области аудита соответствующих организаций в течение 3 (трех) лет из последних пяти;</w:t>
            </w:r>
          </w:p>
          <w:p>
            <w:pPr>
              <w:spacing w:after="20"/>
              <w:ind w:left="20"/>
              <w:jc w:val="both"/>
            </w:pPr>
            <w:r>
              <w:rPr>
                <w:rFonts w:ascii="Times New Roman"/>
                <w:b w:val="false"/>
                <w:i w:val="false"/>
                <w:color w:val="000000"/>
                <w:sz w:val="20"/>
              </w:rPr>
              <w:t>не менее 2 (двух) специалистов, имеющих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квалификацию "аудитор" с опытом работы в области аудита соответствующих организаций в течение 2 (двух) лет из последних пяти;</w:t>
            </w:r>
          </w:p>
          <w:p>
            <w:pPr>
              <w:spacing w:after="20"/>
              <w:ind w:left="20"/>
              <w:jc w:val="both"/>
            </w:pPr>
            <w:r>
              <w:rPr>
                <w:rFonts w:ascii="Times New Roman"/>
                <w:b w:val="false"/>
                <w:i w:val="false"/>
                <w:color w:val="000000"/>
                <w:sz w:val="20"/>
              </w:rPr>
              <w:t>отсутствие непогашенной задолженности перед аудируемой финансовой организацией во время проведения аудита и (или) предоставления других услуг;</w:t>
            </w:r>
          </w:p>
          <w:p>
            <w:pPr>
              <w:spacing w:after="20"/>
              <w:ind w:left="20"/>
              <w:jc w:val="both"/>
            </w:pPr>
            <w:r>
              <w:rPr>
                <w:rFonts w:ascii="Times New Roman"/>
                <w:b w:val="false"/>
                <w:i w:val="false"/>
                <w:color w:val="000000"/>
                <w:sz w:val="20"/>
              </w:rPr>
              <w:t xml:space="preserve">аудитора и (или) руководителя группы, не имеющих задолженность перед аудируемой финансовой организацией по договору банковского займа, и (или) по договору микрокредита во время проведения аудита и (или) предоставления других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орган государственных доходов по месту нахождения аудируемого субъекта аудиторского заключения по налогам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выявленных недостатков в срок, определяемый решением комитета по контролю качества и (или) профессиональной аудиторской организации, в случае получения оценки меньше чем "4" в течение 2 (двух)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профессиональным аудиторским организациям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достоверное предоставление отчетности в уполномоченный орган;</w:t>
            </w:r>
          </w:p>
          <w:p>
            <w:pPr>
              <w:spacing w:after="20"/>
              <w:ind w:left="20"/>
              <w:jc w:val="both"/>
            </w:pPr>
            <w:r>
              <w:rPr>
                <w:rFonts w:ascii="Times New Roman"/>
                <w:b w:val="false"/>
                <w:i w:val="false"/>
                <w:color w:val="000000"/>
                <w:sz w:val="20"/>
              </w:rPr>
              <w:t>Полугодовой отчет о деятельности профессиональной аудиторской организации (до 15 числа месяца, следующего за отчетным периодом)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достоверное предоставление отчетности в уполномоченный орган;</w:t>
            </w:r>
          </w:p>
          <w:p>
            <w:pPr>
              <w:spacing w:after="20"/>
              <w:ind w:left="20"/>
              <w:jc w:val="both"/>
            </w:pPr>
            <w:r>
              <w:rPr>
                <w:rFonts w:ascii="Times New Roman"/>
                <w:b w:val="false"/>
                <w:i w:val="false"/>
                <w:color w:val="000000"/>
                <w:sz w:val="20"/>
              </w:rPr>
              <w:t>Ежегодный отчет о проведении профессиональной аудиторской организацией курсов повышения квалификации аудиторов и выдачи сертификатов (до 1 марта года, следующего за отчетным периодом)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достоверное предоставление отчетности в уполномоченный орган;</w:t>
            </w:r>
          </w:p>
          <w:p>
            <w:pPr>
              <w:spacing w:after="20"/>
              <w:ind w:left="20"/>
              <w:jc w:val="both"/>
            </w:pPr>
            <w:r>
              <w:rPr>
                <w:rFonts w:ascii="Times New Roman"/>
                <w:b w:val="false"/>
                <w:i w:val="false"/>
                <w:color w:val="000000"/>
                <w:sz w:val="20"/>
              </w:rPr>
              <w:t>Ежеквартальный отчет о соответствии минимальным требованиям аудиторских организаций, которые проводят обязательный аудит; (до 15 числа месяца, следующего за отчетным периодом)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достоверное предоставление отчетности в уполномоченный орган;</w:t>
            </w:r>
          </w:p>
          <w:p>
            <w:pPr>
              <w:spacing w:after="20"/>
              <w:ind w:left="20"/>
              <w:jc w:val="both"/>
            </w:pPr>
            <w:r>
              <w:rPr>
                <w:rFonts w:ascii="Times New Roman"/>
                <w:b w:val="false"/>
                <w:i w:val="false"/>
                <w:color w:val="000000"/>
                <w:sz w:val="20"/>
              </w:rPr>
              <w:t>Ежеквартальный отчет о проведенном внешнем контроле качества аудиторских организаций, не являющихся объектами внешнего контроля качества профессионального совета по аудиторской деятельности, профессиональной аудиторской организацией (до 15 числа месяца, следующего за отчетным периодом)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внешнего контроля качества профессиональной организацией в отношении аудиторских организаций, которые не являются объектами внешнего контроля качества профессионального совета один раз в 3 (три)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только аудиторов и аудиторских организаций, являющихся учредителями и участниками профессиональной организации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в течение 3 (трех) месяцев причин, по которым вынесено предупредительное письмо 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изменениях уполномоченному органу в случае принятия (выбытия, исключения) членов, а также изменения персонального состава рабочего органа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внешнего контроля качества только аудиторами, осуществляющими свою деятельность в качестве аудитора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оснований внепланового внешнего контроля качества:</w:t>
            </w:r>
          </w:p>
          <w:p>
            <w:pPr>
              <w:spacing w:after="20"/>
              <w:ind w:left="20"/>
              <w:jc w:val="both"/>
            </w:pPr>
            <w:r>
              <w:rPr>
                <w:rFonts w:ascii="Times New Roman"/>
                <w:b w:val="false"/>
                <w:i w:val="false"/>
                <w:color w:val="000000"/>
                <w:sz w:val="20"/>
              </w:rPr>
              <w:t>в случае получения профессиональным советом или профессиональной организацией обращения на действия (бездействие) аудиторов, аудиторских организаций и профессиональных организаций;</w:t>
            </w:r>
          </w:p>
          <w:p>
            <w:pPr>
              <w:spacing w:after="20"/>
              <w:ind w:left="20"/>
              <w:jc w:val="both"/>
            </w:pPr>
            <w:r>
              <w:rPr>
                <w:rFonts w:ascii="Times New Roman"/>
                <w:b w:val="false"/>
                <w:i w:val="false"/>
                <w:color w:val="000000"/>
                <w:sz w:val="20"/>
              </w:rPr>
              <w:t>в случае несогласия с результатами работы аудиторов и (или) аудиторских организаций;</w:t>
            </w:r>
          </w:p>
          <w:p>
            <w:pPr>
              <w:spacing w:after="20"/>
              <w:ind w:left="20"/>
              <w:jc w:val="both"/>
            </w:pPr>
            <w:r>
              <w:rPr>
                <w:rFonts w:ascii="Times New Roman"/>
                <w:b w:val="false"/>
                <w:i w:val="false"/>
                <w:color w:val="000000"/>
                <w:sz w:val="20"/>
              </w:rPr>
              <w:t>по инициативе объектов внешнего контроля качества профессионального совета;</w:t>
            </w:r>
          </w:p>
          <w:p>
            <w:pPr>
              <w:spacing w:after="20"/>
              <w:ind w:left="20"/>
              <w:jc w:val="both"/>
            </w:pPr>
            <w:r>
              <w:rPr>
                <w:rFonts w:ascii="Times New Roman"/>
                <w:b w:val="false"/>
                <w:i w:val="false"/>
                <w:color w:val="000000"/>
                <w:sz w:val="20"/>
              </w:rPr>
              <w:t>по инициативе уполномоченного органа согласно поступившим обращениям, связанным с деятельностью аудиторов, аудиторских организаций и профессиональных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10 (десяти) процентов от средней численности, но не менее 5 (пяти) аудиторских организаций – членов профессиональной организации за 12 (двенадцать) календарных месяцев фактов лишения лицензии на осуществление аудиторской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планового внешнего контроля качества каждой аудиторской организацией по утвержденному внутреннему плану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проверки внешнего контроля качества аудиторами не превышают 10 (десять)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определения оценки по результатам внешнего контроля качества не превышают более 2 (двух)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1"/>
          <w:p>
            <w:pPr>
              <w:spacing w:after="20"/>
              <w:ind w:left="20"/>
              <w:jc w:val="both"/>
            </w:pPr>
            <w:r>
              <w:rPr>
                <w:rFonts w:ascii="Times New Roman"/>
                <w:b w:val="false"/>
                <w:i w:val="false"/>
                <w:color w:val="000000"/>
                <w:sz w:val="20"/>
              </w:rPr>
              <w:t>
Соблюдение порядка проведения внешнего контроля качества:</w:t>
            </w:r>
          </w:p>
          <w:bookmarkEnd w:id="111"/>
          <w:p>
            <w:pPr>
              <w:spacing w:after="20"/>
              <w:ind w:left="20"/>
              <w:jc w:val="both"/>
            </w:pPr>
            <w:r>
              <w:rPr>
                <w:rFonts w:ascii="Times New Roman"/>
                <w:b w:val="false"/>
                <w:i w:val="false"/>
                <w:color w:val="000000"/>
                <w:sz w:val="20"/>
              </w:rPr>
              <w:t>вопросы по организации процедуры внешнего контроля качества;</w:t>
            </w:r>
          </w:p>
          <w:p>
            <w:pPr>
              <w:spacing w:after="20"/>
              <w:ind w:left="20"/>
              <w:jc w:val="both"/>
            </w:pPr>
            <w:r>
              <w:rPr>
                <w:rFonts w:ascii="Times New Roman"/>
                <w:b w:val="false"/>
                <w:i w:val="false"/>
                <w:color w:val="000000"/>
                <w:sz w:val="20"/>
              </w:rPr>
              <w:t>основания отвода (самоотвода) контролера либо других лиц, участвующих в процедуре внешнего контроля качества;</w:t>
            </w:r>
          </w:p>
          <w:p>
            <w:pPr>
              <w:spacing w:after="20"/>
              <w:ind w:left="20"/>
              <w:jc w:val="both"/>
            </w:pPr>
            <w:r>
              <w:rPr>
                <w:rFonts w:ascii="Times New Roman"/>
                <w:b w:val="false"/>
                <w:i w:val="false"/>
                <w:color w:val="000000"/>
                <w:sz w:val="20"/>
              </w:rPr>
              <w:t>программа и этапы проведения внешнего контроля качества;</w:t>
            </w:r>
          </w:p>
          <w:p>
            <w:pPr>
              <w:spacing w:after="20"/>
              <w:ind w:left="20"/>
              <w:jc w:val="both"/>
            </w:pPr>
            <w:r>
              <w:rPr>
                <w:rFonts w:ascii="Times New Roman"/>
                <w:b w:val="false"/>
                <w:i w:val="false"/>
                <w:color w:val="000000"/>
                <w:sz w:val="20"/>
              </w:rPr>
              <w:t>перечень документов аудиторской организации, подлежащих внешнему контролю качества, который включает учредительные и правоустанавливающие документы, лицензии, квалификационные свидетельства аудиторов, документы по повышению квалификации аудиторов, документы по кадровому составу, внутрифирменные документы по контролю качества аудита, рабочую документацию по выполненным аудиторским заданиям;</w:t>
            </w:r>
          </w:p>
          <w:p>
            <w:pPr>
              <w:spacing w:after="20"/>
              <w:ind w:left="20"/>
              <w:jc w:val="both"/>
            </w:pPr>
            <w:r>
              <w:rPr>
                <w:rFonts w:ascii="Times New Roman"/>
                <w:b w:val="false"/>
                <w:i w:val="false"/>
                <w:color w:val="000000"/>
                <w:sz w:val="20"/>
              </w:rPr>
              <w:t>критерии отбора проектов по аудиту, подвергающихся внешнему контролю качества, а также отбора контролеров, исключающие конфликт интересов (обеспечение независимости);</w:t>
            </w:r>
          </w:p>
          <w:p>
            <w:pPr>
              <w:spacing w:after="20"/>
              <w:ind w:left="20"/>
              <w:jc w:val="both"/>
            </w:pPr>
            <w:r>
              <w:rPr>
                <w:rFonts w:ascii="Times New Roman"/>
                <w:b w:val="false"/>
                <w:i w:val="false"/>
                <w:color w:val="000000"/>
                <w:sz w:val="20"/>
              </w:rPr>
              <w:t>достаточности ресурсов, направленных аудиторской организацией на выполнение договора оказания аудиторских услуг;</w:t>
            </w:r>
          </w:p>
          <w:p>
            <w:pPr>
              <w:spacing w:after="20"/>
              <w:ind w:left="20"/>
              <w:jc w:val="both"/>
            </w:pPr>
            <w:r>
              <w:rPr>
                <w:rFonts w:ascii="Times New Roman"/>
                <w:b w:val="false"/>
                <w:i w:val="false"/>
                <w:color w:val="000000"/>
                <w:sz w:val="20"/>
              </w:rPr>
              <w:t>вопросы проверки системы внутреннего контроля качества аудиторской организации;</w:t>
            </w:r>
          </w:p>
          <w:p>
            <w:pPr>
              <w:spacing w:after="20"/>
              <w:ind w:left="20"/>
              <w:jc w:val="both"/>
            </w:pPr>
            <w:r>
              <w:rPr>
                <w:rFonts w:ascii="Times New Roman"/>
                <w:b w:val="false"/>
                <w:i w:val="false"/>
                <w:color w:val="000000"/>
                <w:sz w:val="20"/>
              </w:rPr>
              <w:t>наличие правил внутреннего контроля и следующих программ их осуществления: программы организации внутреннего контроля в целях противодействия легализации (отмыванию) доходов, полученных преступным путем, и финансированию терроризма;</w:t>
            </w:r>
          </w:p>
          <w:p>
            <w:pPr>
              <w:spacing w:after="20"/>
              <w:ind w:left="20"/>
              <w:jc w:val="both"/>
            </w:pPr>
            <w:r>
              <w:rPr>
                <w:rFonts w:ascii="Times New Roman"/>
                <w:b w:val="false"/>
                <w:i w:val="false"/>
                <w:color w:val="000000"/>
                <w:sz w:val="20"/>
              </w:rPr>
              <w:t>программы управления риском легализации (отмывания) доходов, полученных преступным путем, и финансирования терроризма, учитывающую риски клиентов и риски использования услуг в преступных целях, включая риск использования технологических достижений;</w:t>
            </w:r>
          </w:p>
          <w:p>
            <w:pPr>
              <w:spacing w:after="20"/>
              <w:ind w:left="20"/>
              <w:jc w:val="both"/>
            </w:pPr>
            <w:r>
              <w:rPr>
                <w:rFonts w:ascii="Times New Roman"/>
                <w:b w:val="false"/>
                <w:i w:val="false"/>
                <w:color w:val="000000"/>
                <w:sz w:val="20"/>
              </w:rPr>
              <w:t>программы идентификации клиентов;</w:t>
            </w:r>
          </w:p>
          <w:p>
            <w:pPr>
              <w:spacing w:after="20"/>
              <w:ind w:left="20"/>
              <w:jc w:val="both"/>
            </w:pPr>
            <w:r>
              <w:rPr>
                <w:rFonts w:ascii="Times New Roman"/>
                <w:b w:val="false"/>
                <w:i w:val="false"/>
                <w:color w:val="000000"/>
                <w:sz w:val="20"/>
              </w:rPr>
              <w:t>программы мониторинга и изучения операций клиентов, включая изучение сложных, необычно крупных и других необычных операций клиентов;</w:t>
            </w:r>
          </w:p>
          <w:p>
            <w:pPr>
              <w:spacing w:after="20"/>
              <w:ind w:left="20"/>
              <w:jc w:val="both"/>
            </w:pPr>
            <w:r>
              <w:rPr>
                <w:rFonts w:ascii="Times New Roman"/>
                <w:b w:val="false"/>
                <w:i w:val="false"/>
                <w:color w:val="000000"/>
                <w:sz w:val="20"/>
              </w:rPr>
              <w:t>программы подготовки и обучения сотрудников субъектов финансового мониторинга по вопросам противодействия легализации (отмыванию) доходов, полученных преступным путем, и финансированию терроризма;</w:t>
            </w:r>
          </w:p>
          <w:p>
            <w:pPr>
              <w:spacing w:after="20"/>
              <w:ind w:left="20"/>
              <w:jc w:val="both"/>
            </w:pPr>
            <w:r>
              <w:rPr>
                <w:rFonts w:ascii="Times New Roman"/>
                <w:b w:val="false"/>
                <w:i w:val="false"/>
                <w:color w:val="000000"/>
                <w:sz w:val="20"/>
              </w:rPr>
              <w:t>
вопросы внешнего контроля качества отдельных аудиторских заданий;</w:t>
            </w:r>
          </w:p>
          <w:p>
            <w:pPr>
              <w:spacing w:after="20"/>
              <w:ind w:left="20"/>
              <w:jc w:val="both"/>
            </w:pPr>
            <w:r>
              <w:rPr>
                <w:rFonts w:ascii="Times New Roman"/>
                <w:b w:val="false"/>
                <w:i w:val="false"/>
                <w:color w:val="000000"/>
                <w:sz w:val="20"/>
              </w:rPr>
              <w:t>меры по обеспечению защиты информации, доступ к которой получен комитетом по контролю качества и профессиональной организацией в ходе проведения внешнего контроля качества;</w:t>
            </w:r>
          </w:p>
          <w:p>
            <w:pPr>
              <w:spacing w:after="20"/>
              <w:ind w:left="20"/>
              <w:jc w:val="both"/>
            </w:pPr>
            <w:r>
              <w:rPr>
                <w:rFonts w:ascii="Times New Roman"/>
                <w:b w:val="false"/>
                <w:i w:val="false"/>
                <w:color w:val="000000"/>
                <w:sz w:val="20"/>
              </w:rPr>
              <w:t>отчетность контролеров и оформление результатов прохождения аудиторской организацией внешнего контроля качества;</w:t>
            </w:r>
          </w:p>
          <w:p>
            <w:pPr>
              <w:spacing w:after="20"/>
              <w:ind w:left="20"/>
              <w:jc w:val="both"/>
            </w:pPr>
            <w:r>
              <w:rPr>
                <w:rFonts w:ascii="Times New Roman"/>
                <w:b w:val="false"/>
                <w:i w:val="false"/>
                <w:color w:val="000000"/>
                <w:sz w:val="20"/>
              </w:rPr>
              <w:t>меры по реализации аудиторской организацией результатов прохождения внешнего контроля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аудиторской</w:t>
            </w:r>
            <w:r>
              <w:br/>
            </w:r>
            <w:r>
              <w:rPr>
                <w:rFonts w:ascii="Times New Roman"/>
                <w:b w:val="false"/>
                <w:i w:val="false"/>
                <w:color w:val="000000"/>
                <w:sz w:val="20"/>
              </w:rPr>
              <w:t>деятельности</w:t>
            </w:r>
          </w:p>
        </w:tc>
      </w:tr>
    </w:tbl>
    <w:bookmarkStart w:name="z125" w:id="112"/>
    <w:p>
      <w:pPr>
        <w:spacing w:after="0"/>
        <w:ind w:left="0"/>
        <w:jc w:val="left"/>
      </w:pPr>
      <w:r>
        <w:rPr>
          <w:rFonts w:ascii="Times New Roman"/>
          <w:b/>
          <w:i w:val="false"/>
          <w:color w:val="000000"/>
        </w:rPr>
        <w:t xml:space="preserve"> Степени нарушений требований нормативных правовых актов для проведения проверки на соответствие требованиям</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при несоблюдении, которых устанавливается степень тяжести нарушения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аудиторским организациям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аудиторов в составе аудиторской организации не менее 2 (двух) человек (в том числе руководителя и (или) учредителей (участников)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аудитором своей деятельности в качестве аудитора только в составе одной аудиторской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уставном капитале стопроцентной доли, принадлежащей аудитору (аудиторам) и (или) иностранной (иностранным) аудиторским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сведений в отношении руководителя аудиторской организации о лишении лицензии в соответствии с законодательными актами Республики Казахстан ранее возглавляемой им аудиторской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аудиторской организации, а также у аудиторов квалификационного свидетельства о присвоении квалификации "аудитор", выданного Квалификационной комиссией по аттестации кандидатов в аудиторы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филиала квалификационного свидетельства "аудитор" при создании филиала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субъектом среднего или крупного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Аудиторская организация, осуществляющая аудиторскую деятельность на территории Республики Казахстан, не является участником другой аудиторской организации - резидента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профессиональным аудиторским организациям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Учредителями и участниками профессиональных организаций являются только аудиторы и аудиторские организации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Аудиторы и аудиторские организации выступают членами только одной профессиональной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управления профессиональных организаций формируется из числа аудиторов – членов профессиональной организации в количестве не менее трех аудиторов с опытом работы в области аудита в течение трех лет из последних пяти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профессиональной организации рабочих органов:</w:t>
            </w:r>
          </w:p>
          <w:p>
            <w:pPr>
              <w:spacing w:after="20"/>
              <w:ind w:left="20"/>
              <w:jc w:val="both"/>
            </w:pPr>
            <w:r>
              <w:rPr>
                <w:rFonts w:ascii="Times New Roman"/>
                <w:b w:val="false"/>
                <w:i w:val="false"/>
                <w:color w:val="000000"/>
                <w:sz w:val="20"/>
              </w:rPr>
              <w:t>по контролю качества;</w:t>
            </w:r>
          </w:p>
          <w:p>
            <w:pPr>
              <w:spacing w:after="20"/>
              <w:ind w:left="20"/>
              <w:jc w:val="both"/>
            </w:pPr>
            <w:r>
              <w:rPr>
                <w:rFonts w:ascii="Times New Roman"/>
                <w:b w:val="false"/>
                <w:i w:val="false"/>
                <w:color w:val="000000"/>
                <w:sz w:val="20"/>
              </w:rPr>
              <w:t>по международным стандартам аудита и финансовой отчетности;</w:t>
            </w:r>
          </w:p>
          <w:p>
            <w:pPr>
              <w:spacing w:after="20"/>
              <w:ind w:left="20"/>
              <w:jc w:val="both"/>
            </w:pPr>
            <w:r>
              <w:rPr>
                <w:rFonts w:ascii="Times New Roman"/>
                <w:b w:val="false"/>
                <w:i w:val="false"/>
                <w:color w:val="000000"/>
                <w:sz w:val="20"/>
              </w:rPr>
              <w:t xml:space="preserve"> по повышению квалификации аудиторов;</w:t>
            </w:r>
          </w:p>
          <w:p>
            <w:pPr>
              <w:spacing w:after="20"/>
              <w:ind w:left="20"/>
              <w:jc w:val="both"/>
            </w:pPr>
            <w:r>
              <w:rPr>
                <w:rFonts w:ascii="Times New Roman"/>
                <w:b w:val="false"/>
                <w:i w:val="false"/>
                <w:color w:val="000000"/>
                <w:sz w:val="20"/>
              </w:rPr>
              <w:t xml:space="preserve"> по вопросам этики;</w:t>
            </w:r>
          </w:p>
          <w:p>
            <w:pPr>
              <w:spacing w:after="20"/>
              <w:ind w:left="20"/>
              <w:jc w:val="both"/>
            </w:pPr>
            <w:r>
              <w:rPr>
                <w:rFonts w:ascii="Times New Roman"/>
                <w:b w:val="false"/>
                <w:i w:val="false"/>
                <w:color w:val="000000"/>
                <w:sz w:val="20"/>
              </w:rPr>
              <w:t xml:space="preserve"> по рассмотрению споров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аудиторской</w:t>
            </w:r>
            <w:r>
              <w:br/>
            </w:r>
            <w:r>
              <w:rPr>
                <w:rFonts w:ascii="Times New Roman"/>
                <w:b w:val="false"/>
                <w:i w:val="false"/>
                <w:color w:val="000000"/>
                <w:sz w:val="20"/>
              </w:rPr>
              <w:t>деятельности</w:t>
            </w:r>
          </w:p>
        </w:tc>
      </w:tr>
    </w:tbl>
    <w:bookmarkStart w:name="z127" w:id="113"/>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в области аудиторской деятельности в соответствии со статьей 138 Предпринимательского кодекса Республики Казахстан в отношении аудиторских организаций</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Непредоставление или несвоевременное предоставление в уполномоченный орган отчета о соответствии квалификационным требованиям к аудиторской деятельности (ежегодный отчет до 1 марта года, следующего за отчетным периодом)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Непредоставление или несвоевременное предоставление в уполномоченный орган отчета по основным показателям деятельности аудиторских организаций (ежеквартальный отчет до 15 числа месяца, следующего за отчетным периодом)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Непредоставление или несвоевременное предоставление в уполномоченный орган информации по страхованию гражданско-правовой ответственности (в течение 15 (пятнадцати) рабочих дней с даты заключения договора обязательного страхования гражданско-правовой ответственности)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документов, подтверждающих вступление аудиторской организации в профессиональную аудиторскую организацию в течение одного месяца со дня получения лицензии на осуществление аудиторской деятельности, или добровольного выхода или исключения, а также при лишении аккредитации профессиональной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договора страхования гражданско-правовой ответственности по обязательствам, возникающим вследствие причинения имущественного вреда при осуществлении аудита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аудиторской организацией ограничений права на проведение аудита, аудита по налогам, аудита специального назначения субъектов квазигосударственного сектора, аудита иной информации организациям, с которыми за последние три года был заключен договор страхования гражданско-правовой ответственности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 на профилактический контроль с посещением субъекта (объекта)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аудиторов в составе аудиторской организации не менее 2 (двух) человек (в том числе руководителя и (или) учредителей (участников)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на проверку на соответствии требованиям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осуществление аудитором своей деятельности в качестве аудитора только в составе одной аудиторской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на проверку на соответствии требованиям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уставном капитале стопроцентной доли, принадлежащей аудитору (аудиторам) и (или) иностранной (иностранным) аудиторским организациям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руководителя аудиторской организации, а также у аудиторов квалификационного свидетельства о присвоении квалификации "аудитор", выданного Квалификационной комиссией по аттестации кандидатов в аудиторы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мониторинга отчетности и сведений, представляемых субъектом (объектом) контроля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руководителя филиала квалификационного свидетельства "аудитор" при создании филиала на территории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является субъектом среднего или крупного предпринимательства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на проверку на соответствии требованиям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Аудиторская организация, осуществляющая аудиторскую деятельность на территории Республики Казахстан, не является участником другой аудиторской организации - резидента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аудиторской</w:t>
            </w:r>
            <w:r>
              <w:br/>
            </w:r>
            <w:r>
              <w:rPr>
                <w:rFonts w:ascii="Times New Roman"/>
                <w:b w:val="false"/>
                <w:i w:val="false"/>
                <w:color w:val="000000"/>
                <w:sz w:val="20"/>
              </w:rPr>
              <w:t>деятельности</w:t>
            </w:r>
          </w:p>
        </w:tc>
      </w:tr>
    </w:tbl>
    <w:bookmarkStart w:name="z129" w:id="114"/>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в области аудиторской деятельности в соответствии со статьей 138 Предпринимательского кодекса Республики Казахстан в отношении профессиональных аудиторских организаций</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 недостоверное предоставление отчетности в уполномоченный орган;</w:t>
            </w:r>
          </w:p>
          <w:p>
            <w:pPr>
              <w:spacing w:after="20"/>
              <w:ind w:left="20"/>
              <w:jc w:val="both"/>
            </w:pPr>
            <w:r>
              <w:rPr>
                <w:rFonts w:ascii="Times New Roman"/>
                <w:b w:val="false"/>
                <w:i w:val="false"/>
                <w:color w:val="000000"/>
                <w:sz w:val="20"/>
              </w:rPr>
              <w:t>Полугодовой отчет о деятельности профессиональной аудиторской организации (до 15 числа месяца, следующего за отчетным периодом)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 недостоверное предоставление отчетности в уполномоченный орган;</w:t>
            </w:r>
          </w:p>
          <w:p>
            <w:pPr>
              <w:spacing w:after="20"/>
              <w:ind w:left="20"/>
              <w:jc w:val="both"/>
            </w:pPr>
            <w:r>
              <w:rPr>
                <w:rFonts w:ascii="Times New Roman"/>
                <w:b w:val="false"/>
                <w:i w:val="false"/>
                <w:color w:val="000000"/>
                <w:sz w:val="20"/>
              </w:rPr>
              <w:t>Ежегодный отчет о проведении профессиональной аудиторской организацией курсов повышения квалификации аудиторов и выдачи сертификатов (до 1 марта года, следующего за отчетным периодом)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 недостоверное предоставление отчетности в уполномоченный орган;</w:t>
            </w:r>
          </w:p>
          <w:p>
            <w:pPr>
              <w:spacing w:after="20"/>
              <w:ind w:left="20"/>
              <w:jc w:val="both"/>
            </w:pPr>
            <w:r>
              <w:rPr>
                <w:rFonts w:ascii="Times New Roman"/>
                <w:b w:val="false"/>
                <w:i w:val="false"/>
                <w:color w:val="000000"/>
                <w:sz w:val="20"/>
              </w:rPr>
              <w:t>Ежеквартальный отчет о соответствии минимальным требованиям аудиторских организаций, которые проводят обязательный аудит; (до 15 числа месяца, следующего за отчетным периодом)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 недостоверное предоставление отчетности в уполномоченный орган;</w:t>
            </w:r>
          </w:p>
          <w:p>
            <w:pPr>
              <w:spacing w:after="20"/>
              <w:ind w:left="20"/>
              <w:jc w:val="both"/>
            </w:pPr>
            <w:r>
              <w:rPr>
                <w:rFonts w:ascii="Times New Roman"/>
                <w:b w:val="false"/>
                <w:i w:val="false"/>
                <w:color w:val="000000"/>
                <w:sz w:val="20"/>
              </w:rPr>
              <w:t>Ежеквартальный отчет о проведенном внешнем контроле качества аудиторских организаций, не являющихся объектами внешнего контроля качества профессионального совета по аудиторской деятельности, профессиональной аудиторской организацией (до 15 числа месяца, следующего за отчетным периодом)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Неосуществление внешнего контроля качества профессиональной организацией в отношении аудиторских организаций, которые не являются объектами внешнего контроля качества профессионального совета один раз в 3 (три) года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 на профилактический контроль с посещением субъекта (объекта)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только аудиторов и аудиторских организаций, являющихся учредителями и участниками профессиональной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 на профилактический контроль с посещением субъекта (объекта)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Учредителями и участниками профессиональных организаций не являются только аудиторы и аудиторские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на проверку на соответствии требованиям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Аудиторы и аудиторские организации не выступают членами только одной профессиональной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2023 года № 99</w:t>
            </w:r>
            <w:r>
              <w:br/>
            </w:r>
            <w:r>
              <w:rPr>
                <w:rFonts w:ascii="Times New Roman"/>
                <w:b w:val="false"/>
                <w:i w:val="false"/>
                <w:color w:val="000000"/>
                <w:sz w:val="20"/>
              </w:rPr>
              <w:t>и Заместитель Премьер- 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2023 года № 606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2019 года № 724</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2019 года № 65</w:t>
            </w:r>
          </w:p>
        </w:tc>
      </w:tr>
    </w:tbl>
    <w:bookmarkStart w:name="z132" w:id="115"/>
    <w:p>
      <w:pPr>
        <w:spacing w:after="0"/>
        <w:ind w:left="0"/>
        <w:jc w:val="left"/>
      </w:pPr>
      <w:r>
        <w:rPr>
          <w:rFonts w:ascii="Times New Roman"/>
          <w:b/>
          <w:i w:val="false"/>
          <w:color w:val="000000"/>
        </w:rPr>
        <w:t xml:space="preserve"> Проверочный лист</w:t>
      </w:r>
    </w:p>
    <w:bookmarkEnd w:id="115"/>
    <w:p>
      <w:pPr>
        <w:spacing w:after="0"/>
        <w:ind w:left="0"/>
        <w:jc w:val="both"/>
      </w:pPr>
      <w:bookmarkStart w:name="z133" w:id="116"/>
      <w:r>
        <w:rPr>
          <w:rFonts w:ascii="Times New Roman"/>
          <w:b w:val="false"/>
          <w:i w:val="false"/>
          <w:color w:val="000000"/>
          <w:sz w:val="28"/>
        </w:rPr>
        <w:t xml:space="preserve">
      в области аудиторской деятельности в соответствии со </w:t>
      </w:r>
      <w:r>
        <w:rPr>
          <w:rFonts w:ascii="Times New Roman"/>
          <w:b w:val="false"/>
          <w:i w:val="false"/>
          <w:color w:val="000000"/>
          <w:sz w:val="28"/>
        </w:rPr>
        <w:t>статьей 138</w:t>
      </w:r>
    </w:p>
    <w:bookmarkEnd w:id="116"/>
    <w:p>
      <w:pPr>
        <w:spacing w:after="0"/>
        <w:ind w:left="0"/>
        <w:jc w:val="both"/>
      </w:pPr>
      <w:r>
        <w:rPr>
          <w:rFonts w:ascii="Times New Roman"/>
          <w:b w:val="false"/>
          <w:i w:val="false"/>
          <w:color w:val="000000"/>
          <w:sz w:val="28"/>
        </w:rPr>
        <w:t>Предпринимательского кодекса Республики Казахстан в отношении аудиторских</w:t>
      </w:r>
    </w:p>
    <w:p>
      <w:pPr>
        <w:spacing w:after="0"/>
        <w:ind w:left="0"/>
        <w:jc w:val="both"/>
      </w:pPr>
      <w:r>
        <w:rPr>
          <w:rFonts w:ascii="Times New Roman"/>
          <w:b w:val="false"/>
          <w:i w:val="false"/>
          <w:color w:val="000000"/>
          <w:sz w:val="28"/>
        </w:rPr>
        <w:t>организаций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 /профилактического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 № _______дата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или своевременное предоставление в уполномоченный орган отчета о соответствии квалификационным требованиям к аудиторской деятельности (ежегодный отчет до 1 марта года, следующего за отчетным периодом)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или своевременное предоставление в уполномоченный орган отчета по основным показателям деятельности аудиторских организаций (ежеквартальный отчет до 15 числа месяца, следующего за отчетным периодом)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или своевременное предоставление в уполномоченный орган информации по страхованию гражданско-правовой ответственности (в течение 15 (пятнадцати) рабочих дней с даты заключения договора обязательного страхования гражданско-правовой ответственности)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профилю своей деятельности:</w:t>
            </w:r>
          </w:p>
          <w:p>
            <w:pPr>
              <w:spacing w:after="20"/>
              <w:ind w:left="20"/>
              <w:jc w:val="both"/>
            </w:pPr>
            <w:r>
              <w:rPr>
                <w:rFonts w:ascii="Times New Roman"/>
                <w:b w:val="false"/>
                <w:i w:val="false"/>
                <w:color w:val="000000"/>
                <w:sz w:val="20"/>
              </w:rPr>
              <w:t>сопутствующие и другие услуги по стандартам аудита;</w:t>
            </w:r>
          </w:p>
          <w:p>
            <w:pPr>
              <w:spacing w:after="20"/>
              <w:ind w:left="20"/>
              <w:jc w:val="both"/>
            </w:pPr>
            <w:r>
              <w:rPr>
                <w:rFonts w:ascii="Times New Roman"/>
                <w:b w:val="false"/>
                <w:i w:val="false"/>
                <w:color w:val="000000"/>
                <w:sz w:val="20"/>
              </w:rPr>
              <w:t>восстановление и ведение бухгалтерского учета, составление финансовой отчетности;</w:t>
            </w:r>
          </w:p>
          <w:p>
            <w:pPr>
              <w:spacing w:after="20"/>
              <w:ind w:left="20"/>
              <w:jc w:val="both"/>
            </w:pPr>
            <w:r>
              <w:rPr>
                <w:rFonts w:ascii="Times New Roman"/>
                <w:b w:val="false"/>
                <w:i w:val="false"/>
                <w:color w:val="000000"/>
                <w:sz w:val="20"/>
              </w:rPr>
              <w:t>внутренний аудит;</w:t>
            </w:r>
          </w:p>
          <w:p>
            <w:pPr>
              <w:spacing w:after="20"/>
              <w:ind w:left="20"/>
              <w:jc w:val="both"/>
            </w:pPr>
            <w:r>
              <w:rPr>
                <w:rFonts w:ascii="Times New Roman"/>
                <w:b w:val="false"/>
                <w:i w:val="false"/>
                <w:color w:val="000000"/>
                <w:sz w:val="20"/>
              </w:rPr>
              <w:t>консультирование по вопросам применения законодательства по налогам и другим обязательным платежам в бюджет и ведения налогового учета;</w:t>
            </w:r>
          </w:p>
          <w:p>
            <w:pPr>
              <w:spacing w:after="20"/>
              <w:ind w:left="20"/>
              <w:jc w:val="both"/>
            </w:pPr>
            <w:r>
              <w:rPr>
                <w:rFonts w:ascii="Times New Roman"/>
                <w:b w:val="false"/>
                <w:i w:val="false"/>
                <w:color w:val="000000"/>
                <w:sz w:val="20"/>
              </w:rPr>
              <w:t>проведение аудита по налогам и составление аудиторского заключения по налогам;</w:t>
            </w:r>
          </w:p>
          <w:p>
            <w:pPr>
              <w:spacing w:after="20"/>
              <w:ind w:left="20"/>
              <w:jc w:val="both"/>
            </w:pPr>
            <w:r>
              <w:rPr>
                <w:rFonts w:ascii="Times New Roman"/>
                <w:b w:val="false"/>
                <w:i w:val="false"/>
                <w:color w:val="000000"/>
                <w:sz w:val="20"/>
              </w:rPr>
              <w:t>проведение аудита специального назначения субъектов квазигосударственного сектора;</w:t>
            </w:r>
          </w:p>
          <w:p>
            <w:pPr>
              <w:spacing w:after="20"/>
              <w:ind w:left="20"/>
              <w:jc w:val="both"/>
            </w:pPr>
            <w:r>
              <w:rPr>
                <w:rFonts w:ascii="Times New Roman"/>
                <w:b w:val="false"/>
                <w:i w:val="false"/>
                <w:color w:val="000000"/>
                <w:sz w:val="20"/>
              </w:rPr>
              <w:t>проведение аудита сведений о расходах недропользователя; проведение аудита иной информации и составление аудиторского заключения по аудиту иной информации;</w:t>
            </w:r>
          </w:p>
          <w:p>
            <w:pPr>
              <w:spacing w:after="20"/>
              <w:ind w:left="20"/>
              <w:jc w:val="both"/>
            </w:pPr>
            <w:r>
              <w:rPr>
                <w:rFonts w:ascii="Times New Roman"/>
                <w:b w:val="false"/>
                <w:i w:val="false"/>
                <w:color w:val="000000"/>
                <w:sz w:val="20"/>
              </w:rPr>
              <w:t>формирование первичных статистических данных;</w:t>
            </w:r>
          </w:p>
          <w:p>
            <w:pPr>
              <w:spacing w:after="20"/>
              <w:ind w:left="20"/>
              <w:jc w:val="both"/>
            </w:pPr>
            <w:r>
              <w:rPr>
                <w:rFonts w:ascii="Times New Roman"/>
                <w:b w:val="false"/>
                <w:i w:val="false"/>
                <w:color w:val="000000"/>
                <w:sz w:val="20"/>
              </w:rPr>
              <w:t>анализ финансово-хозяйственной деятельности и финансовое планирование, экономическое, финансовое и управленческое консультирование;</w:t>
            </w:r>
          </w:p>
          <w:p>
            <w:pPr>
              <w:spacing w:after="20"/>
              <w:ind w:left="20"/>
              <w:jc w:val="both"/>
            </w:pPr>
            <w:r>
              <w:rPr>
                <w:rFonts w:ascii="Times New Roman"/>
                <w:b w:val="false"/>
                <w:i w:val="false"/>
                <w:color w:val="000000"/>
                <w:sz w:val="20"/>
              </w:rPr>
              <w:t>консультирование по вопросам ведения бухгалтерского учета и составления финансовой отчетности;</w:t>
            </w:r>
          </w:p>
          <w:p>
            <w:pPr>
              <w:spacing w:after="20"/>
              <w:ind w:left="20"/>
              <w:jc w:val="both"/>
            </w:pPr>
            <w:r>
              <w:rPr>
                <w:rFonts w:ascii="Times New Roman"/>
                <w:b w:val="false"/>
                <w:i w:val="false"/>
                <w:color w:val="000000"/>
                <w:sz w:val="20"/>
              </w:rPr>
              <w:t>обучение по ведению бухгалтерского учета и составлению финансовой отчетности, налогообложению, аудиту и анализу финансово-хозяйственной деятельности и финансового планирования;</w:t>
            </w:r>
          </w:p>
          <w:p>
            <w:pPr>
              <w:spacing w:after="20"/>
              <w:ind w:left="20"/>
              <w:jc w:val="both"/>
            </w:pPr>
            <w:r>
              <w:rPr>
                <w:rFonts w:ascii="Times New Roman"/>
                <w:b w:val="false"/>
                <w:i w:val="false"/>
                <w:color w:val="000000"/>
                <w:sz w:val="20"/>
              </w:rPr>
              <w:t>рекомендации по автоматизации ведения бухгалтерского учета и составлению финансовой отчетности, обучение автоматизированному ведению бухгалтерского учета и составлению финансовой отчетности;</w:t>
            </w:r>
          </w:p>
          <w:p>
            <w:pPr>
              <w:spacing w:after="20"/>
              <w:ind w:left="20"/>
              <w:jc w:val="both"/>
            </w:pPr>
            <w:r>
              <w:rPr>
                <w:rFonts w:ascii="Times New Roman"/>
                <w:b w:val="false"/>
                <w:i w:val="false"/>
                <w:color w:val="000000"/>
                <w:sz w:val="20"/>
              </w:rPr>
              <w:t>разработку методических пособий и рекомендаций по ведению бухгалтерского учета и составлению финансовой отчетности, аудиту, анализу финансово-хозяйственной деятельности и финансового планирования, оказанию сопутствующих услуг по стандартам аудита, а также их распространение;</w:t>
            </w:r>
          </w:p>
          <w:p>
            <w:pPr>
              <w:spacing w:after="20"/>
              <w:ind w:left="20"/>
              <w:jc w:val="both"/>
            </w:pPr>
            <w:r>
              <w:rPr>
                <w:rFonts w:ascii="Times New Roman"/>
                <w:b w:val="false"/>
                <w:i w:val="false"/>
                <w:color w:val="000000"/>
                <w:sz w:val="20"/>
              </w:rPr>
              <w:t>юридические услуги, связанные с аудиторской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вступление аудиторской организации в профессиональную аудиторскую организацию в течение одного месяца со дня получения лицензии на осуществление аудиторской деятельности, или добровольного выхода или исключения, а также при лишении аккредитации профессиональной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страхования гражданско-правовой ответственности по обязательствам, возникающим вследствие причинения имущественного вреда при осуществлении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договора на проведение аудита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договоре на проведение аудита и (или) предоставление сопутствующих и других услуг по стандартам аудита предусматриваются: предмет договора, сроки, размер и условия оплаты, права, обязанности и ответственность сторон, конфиденциальность полученной информации, а также членство в профессиональной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аудируемому субъекту информации о выявленных нарушениях в ведении бухгалтерского учета, финансовой отчетности и прочей информации, связанной с финансовой отчетностью (в том числе в государственных учреждениях)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аудиторской организацией ограничений права на проведение аудита, аудита по налогам, аудита специального назначения субъектов квазигосударственного сектора, аудита иной информации организациям, с которыми за последние три года был заключен договор страхования гражданско-правовой ответственности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аудиторской организацией запрета на проведение аудита, аудита по налогам, аудита специального назначения субъектов квазигосударственного сектора, аудита иной информации организаций, которым за последние три года были предоставлены услуги по восстановлению и ведению бухгалтерского учета, составлению финансовой отчетности и (или) по внутреннему аудиту (в части бухгалтерского учета и (или) финансовой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в части фиксирования сведений, хранения сведений и документов, защиты документов; своевременное предоставление или непредоставление информации об операциях с деньгами и (или) имуществом, подлежащих финансовому мониторингу; принятие мер по надлежащей проверке клиентов (их представителей) и бенефициарных собственников; принятие мер по замораживанию операций с деньгами и (или) иным имуществом и (или) предоставления информации о мерах по замораживанию операций с деньгами и (или) иным имуществом; исполнение обязанностей по отказу клиенту в установлении деловых отношений и проведении операций с деньгами и (или) иным имуществом и (или) предоставлению информации об отказах в установлении деловых отношений и проведении операций с деньгами и (или) иным имуществом; исполнение программы подготовки и обучения в сфере противодействия легализации (отмыванию) доходов, полученных преступным путем, и финансированию терроризма, утвержденной правилами внутреннего контроля; соблюдение требований по не извещению своих клиентов и иных лиц о предоставлении в уполномоченный орган по финансовому мониторингу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достоверности аудиторского отчета аудиторами и аудиторскими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стандартов аудита, Кодекса этики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обязательного аудита аудиторской организацией, соответствующей минимальным требованиям:</w:t>
            </w:r>
          </w:p>
          <w:p>
            <w:pPr>
              <w:spacing w:after="20"/>
              <w:ind w:left="20"/>
              <w:jc w:val="both"/>
            </w:pPr>
            <w:r>
              <w:rPr>
                <w:rFonts w:ascii="Times New Roman"/>
                <w:b w:val="false"/>
                <w:i w:val="false"/>
                <w:color w:val="000000"/>
                <w:sz w:val="20"/>
              </w:rPr>
              <w:t>1) по организациям:</w:t>
            </w:r>
          </w:p>
          <w:p>
            <w:pPr>
              <w:spacing w:after="20"/>
              <w:ind w:left="20"/>
              <w:jc w:val="both"/>
            </w:pPr>
            <w:r>
              <w:rPr>
                <w:rFonts w:ascii="Times New Roman"/>
                <w:b w:val="false"/>
                <w:i w:val="false"/>
                <w:color w:val="000000"/>
                <w:sz w:val="20"/>
              </w:rPr>
              <w:t>наличие заключения профессионального совета и (или) заключения аккредитованной профессиональной аудиторской организации, членом которой является аудиторская организация, подтверждающего соблюдение аудиторской организацией требований международных стандартов аудита и Кодекса этики по результатам проведенного внешнего контроля качества;</w:t>
            </w:r>
          </w:p>
          <w:p>
            <w:pPr>
              <w:spacing w:after="20"/>
              <w:ind w:left="20"/>
              <w:jc w:val="both"/>
            </w:pPr>
            <w:r>
              <w:rPr>
                <w:rFonts w:ascii="Times New Roman"/>
                <w:b w:val="false"/>
                <w:i w:val="false"/>
                <w:color w:val="000000"/>
                <w:sz w:val="20"/>
              </w:rPr>
              <w:t>отсутствие, в течение последнего 1 (одного) года до даты заключения договора на оказание аудиторских услуг административных взысканий;</w:t>
            </w:r>
          </w:p>
          <w:p>
            <w:pPr>
              <w:spacing w:after="20"/>
              <w:ind w:left="20"/>
              <w:jc w:val="both"/>
            </w:pPr>
            <w:r>
              <w:rPr>
                <w:rFonts w:ascii="Times New Roman"/>
                <w:b w:val="false"/>
                <w:i w:val="false"/>
                <w:color w:val="000000"/>
                <w:sz w:val="20"/>
              </w:rPr>
              <w:t>наличие договора страхования гражданско-правовой ответственности аудиторской организации;</w:t>
            </w:r>
          </w:p>
          <w:p>
            <w:pPr>
              <w:spacing w:after="20"/>
              <w:ind w:left="20"/>
              <w:jc w:val="both"/>
            </w:pPr>
            <w:r>
              <w:rPr>
                <w:rFonts w:ascii="Times New Roman"/>
                <w:b w:val="false"/>
                <w:i w:val="false"/>
                <w:color w:val="000000"/>
                <w:sz w:val="20"/>
              </w:rPr>
              <w:t>подлежит ротации в случае осуществления аудита одной организации, в том числе финансовой организации непрерывно на протяжении 7 (семи) лет;</w:t>
            </w:r>
          </w:p>
          <w:p>
            <w:pPr>
              <w:spacing w:after="20"/>
              <w:ind w:left="20"/>
              <w:jc w:val="both"/>
            </w:pPr>
            <w:r>
              <w:rPr>
                <w:rFonts w:ascii="Times New Roman"/>
                <w:b w:val="false"/>
                <w:i w:val="false"/>
                <w:color w:val="000000"/>
                <w:sz w:val="20"/>
              </w:rPr>
              <w:t>2) по национальным управляющим холдингам, национальным холдингам, национальным компаниям, недропользователям;</w:t>
            </w:r>
          </w:p>
          <w:p>
            <w:pPr>
              <w:spacing w:after="20"/>
              <w:ind w:left="20"/>
              <w:jc w:val="both"/>
            </w:pPr>
            <w:r>
              <w:rPr>
                <w:rFonts w:ascii="Times New Roman"/>
                <w:b w:val="false"/>
                <w:i w:val="false"/>
                <w:color w:val="000000"/>
                <w:sz w:val="20"/>
              </w:rPr>
              <w:t>срок занятия аудиторской деятельностью руководителя аудиторской организации не менее 5 (пяти) лет;</w:t>
            </w:r>
          </w:p>
          <w:p>
            <w:pPr>
              <w:spacing w:after="20"/>
              <w:ind w:left="20"/>
              <w:jc w:val="both"/>
            </w:pPr>
            <w:r>
              <w:rPr>
                <w:rFonts w:ascii="Times New Roman"/>
                <w:b w:val="false"/>
                <w:i w:val="false"/>
                <w:color w:val="000000"/>
                <w:sz w:val="20"/>
              </w:rPr>
              <w:t>наличие аудиторских отчетов по не менее 10 (десяти) аудируемым субъектам на соответствие международным стандартам финансовой отчетности;</w:t>
            </w:r>
          </w:p>
          <w:p>
            <w:pPr>
              <w:spacing w:after="20"/>
              <w:ind w:left="20"/>
              <w:jc w:val="both"/>
            </w:pPr>
            <w:r>
              <w:rPr>
                <w:rFonts w:ascii="Times New Roman"/>
                <w:b w:val="false"/>
                <w:i w:val="false"/>
                <w:color w:val="000000"/>
                <w:sz w:val="20"/>
              </w:rPr>
              <w:t>наличие не менее 2 (двух) специалистов, имеющих сертификат профессионального бухгалтера;</w:t>
            </w:r>
          </w:p>
          <w:p>
            <w:pPr>
              <w:spacing w:after="20"/>
              <w:ind w:left="20"/>
              <w:jc w:val="both"/>
            </w:pPr>
            <w:r>
              <w:rPr>
                <w:rFonts w:ascii="Times New Roman"/>
                <w:b w:val="false"/>
                <w:i w:val="false"/>
                <w:color w:val="000000"/>
                <w:sz w:val="20"/>
              </w:rPr>
              <w:t>3) по финансовым организациям, акционерному обществу "Банк Развития Казахстана" аудиторская организация имеет в составе:</w:t>
            </w:r>
          </w:p>
          <w:p>
            <w:pPr>
              <w:spacing w:after="20"/>
              <w:ind w:left="20"/>
              <w:jc w:val="both"/>
            </w:pPr>
            <w:r>
              <w:rPr>
                <w:rFonts w:ascii="Times New Roman"/>
                <w:b w:val="false"/>
                <w:i w:val="false"/>
                <w:color w:val="000000"/>
                <w:sz w:val="20"/>
              </w:rPr>
              <w:t>специалиста, который является руководителем группы, имеющего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квалификационное свидетельство "аудитор" с опытом работы в области аудита соответствующих организаций в течение 3 (трех) лет из последних пяти;</w:t>
            </w:r>
          </w:p>
          <w:p>
            <w:pPr>
              <w:spacing w:after="20"/>
              <w:ind w:left="20"/>
              <w:jc w:val="both"/>
            </w:pPr>
            <w:r>
              <w:rPr>
                <w:rFonts w:ascii="Times New Roman"/>
                <w:b w:val="false"/>
                <w:i w:val="false"/>
                <w:color w:val="000000"/>
                <w:sz w:val="20"/>
              </w:rPr>
              <w:t>не менее 2 (двух) специалистов, имеющих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квалификацию "аудитор" с опытом работы в области аудита соответствующих организаций в течение 2 (двух) лет из последних пяти;</w:t>
            </w:r>
          </w:p>
          <w:p>
            <w:pPr>
              <w:spacing w:after="20"/>
              <w:ind w:left="20"/>
              <w:jc w:val="both"/>
            </w:pPr>
            <w:r>
              <w:rPr>
                <w:rFonts w:ascii="Times New Roman"/>
                <w:b w:val="false"/>
                <w:i w:val="false"/>
                <w:color w:val="000000"/>
                <w:sz w:val="20"/>
              </w:rPr>
              <w:t>отсутствие непогашенной задолженности перед аудируемой финансовой организацией во время проведения аудита и (или) предоставления других услуг;</w:t>
            </w:r>
          </w:p>
          <w:p>
            <w:pPr>
              <w:spacing w:after="20"/>
              <w:ind w:left="20"/>
              <w:jc w:val="both"/>
            </w:pPr>
            <w:r>
              <w:rPr>
                <w:rFonts w:ascii="Times New Roman"/>
                <w:b w:val="false"/>
                <w:i w:val="false"/>
                <w:color w:val="000000"/>
                <w:sz w:val="20"/>
              </w:rPr>
              <w:t>аудитора и (или) руководителя группы, не имеющих задолженность перед аудируемой финансовой организацией по договору банковского займа, и (или) по договору микрокредита во время проведения аудита и (или) предоставления других услуг не менее 2 (двух) специалистов, имеющих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квалификацию "аудитор" с опытом работы в области аудита соответствующих организаций в течении 2 (двух) лет из последних пяти;</w:t>
            </w:r>
          </w:p>
          <w:p>
            <w:pPr>
              <w:spacing w:after="20"/>
              <w:ind w:left="20"/>
              <w:jc w:val="both"/>
            </w:pPr>
            <w:r>
              <w:rPr>
                <w:rFonts w:ascii="Times New Roman"/>
                <w:b w:val="false"/>
                <w:i w:val="false"/>
                <w:color w:val="000000"/>
                <w:sz w:val="20"/>
              </w:rPr>
              <w:t>отсутствие непогашенной задолженности перед аудируемой финансовой организацией во время проведения аудита и (или) предоставления других услуг;</w:t>
            </w:r>
          </w:p>
          <w:p>
            <w:pPr>
              <w:spacing w:after="20"/>
              <w:ind w:left="20"/>
              <w:jc w:val="both"/>
            </w:pPr>
            <w:r>
              <w:rPr>
                <w:rFonts w:ascii="Times New Roman"/>
                <w:b w:val="false"/>
                <w:i w:val="false"/>
                <w:color w:val="000000"/>
                <w:sz w:val="20"/>
              </w:rPr>
              <w:t>аудитора и (или) руководителя группы, не имеющих задолженность перед аудируемой финансовой организацией по договору банковского займа, и (или) по договору микрокредита во время проведения аудита и (или) предоставления других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орган государственных доходов по месту нахождения аудируемого субъекта аудиторского заключения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выявленных недостатков в срок, определяемый решением комитета по контролю качества и (или) профессиональной аудиторской организации, в случае получения оценки меньше чем "4" в течение 2 (двух)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4" w:id="117"/>
      <w:r>
        <w:rPr>
          <w:rFonts w:ascii="Times New Roman"/>
          <w:b w:val="false"/>
          <w:i w:val="false"/>
          <w:color w:val="000000"/>
          <w:sz w:val="28"/>
        </w:rPr>
        <w:t>
      Должностное (ые) лицо (а)_____________________________________________</w:t>
      </w:r>
    </w:p>
    <w:bookmarkEnd w:id="11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подпись ____________________________________________________________________ 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2023 года № 99</w:t>
            </w:r>
            <w:r>
              <w:br/>
            </w:r>
            <w:r>
              <w:rPr>
                <w:rFonts w:ascii="Times New Roman"/>
                <w:b w:val="false"/>
                <w:i w:val="false"/>
                <w:color w:val="000000"/>
                <w:sz w:val="20"/>
              </w:rPr>
              <w:t>и 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2023 года № 606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2019 года № 724</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2019 года № 65</w:t>
            </w:r>
          </w:p>
        </w:tc>
      </w:tr>
    </w:tbl>
    <w:bookmarkStart w:name="z137" w:id="118"/>
    <w:p>
      <w:pPr>
        <w:spacing w:after="0"/>
        <w:ind w:left="0"/>
        <w:jc w:val="left"/>
      </w:pPr>
      <w:r>
        <w:rPr>
          <w:rFonts w:ascii="Times New Roman"/>
          <w:b/>
          <w:i w:val="false"/>
          <w:color w:val="000000"/>
        </w:rPr>
        <w:t xml:space="preserve"> Проверочный лист</w:t>
      </w:r>
    </w:p>
    <w:bookmarkEnd w:id="118"/>
    <w:p>
      <w:pPr>
        <w:spacing w:after="0"/>
        <w:ind w:left="0"/>
        <w:jc w:val="both"/>
      </w:pPr>
      <w:bookmarkStart w:name="z138" w:id="119"/>
      <w:r>
        <w:rPr>
          <w:rFonts w:ascii="Times New Roman"/>
          <w:b w:val="false"/>
          <w:i w:val="false"/>
          <w:color w:val="000000"/>
          <w:sz w:val="28"/>
        </w:rPr>
        <w:t xml:space="preserve">
      в области аудиторской деятельности в соответствии со </w:t>
      </w:r>
      <w:r>
        <w:rPr>
          <w:rFonts w:ascii="Times New Roman"/>
          <w:b w:val="false"/>
          <w:i w:val="false"/>
          <w:color w:val="000000"/>
          <w:sz w:val="28"/>
        </w:rPr>
        <w:t>статьей 138</w:t>
      </w:r>
    </w:p>
    <w:bookmarkEnd w:id="119"/>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профессиональных аудиторских организаций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 /профилактического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достоверное предоставление отчетности в уполномоченный орган;</w:t>
            </w:r>
          </w:p>
          <w:p>
            <w:pPr>
              <w:spacing w:after="20"/>
              <w:ind w:left="20"/>
              <w:jc w:val="both"/>
            </w:pPr>
            <w:r>
              <w:rPr>
                <w:rFonts w:ascii="Times New Roman"/>
                <w:b w:val="false"/>
                <w:i w:val="false"/>
                <w:color w:val="000000"/>
                <w:sz w:val="20"/>
              </w:rPr>
              <w:t>Полугодовой отчет о деятельности профессиональной аудиторской организации (до 15 числа месяца, следующего за отчетным периодом)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достоверное предоставление отчетности в уполномоченный орган;</w:t>
            </w:r>
          </w:p>
          <w:p>
            <w:pPr>
              <w:spacing w:after="20"/>
              <w:ind w:left="20"/>
              <w:jc w:val="both"/>
            </w:pPr>
            <w:r>
              <w:rPr>
                <w:rFonts w:ascii="Times New Roman"/>
                <w:b w:val="false"/>
                <w:i w:val="false"/>
                <w:color w:val="000000"/>
                <w:sz w:val="20"/>
              </w:rPr>
              <w:t>Ежегодный отчет о проведении профессиональной аудиторской организацией курсов повышения квалификации аудиторов и выдачи сертификатов (до 1 марта года, следующего за отчетным периодом)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достоверное предоставление отчетности в уполномоченный орган;</w:t>
            </w:r>
          </w:p>
          <w:p>
            <w:pPr>
              <w:spacing w:after="20"/>
              <w:ind w:left="20"/>
              <w:jc w:val="both"/>
            </w:pPr>
            <w:r>
              <w:rPr>
                <w:rFonts w:ascii="Times New Roman"/>
                <w:b w:val="false"/>
                <w:i w:val="false"/>
                <w:color w:val="000000"/>
                <w:sz w:val="20"/>
              </w:rPr>
              <w:t>Ежеквартальный отчет о соответствии минимальным требованиям аудиторских организаций, которые проводят обязательный аудит; (до 15 числа месяца, следующего за отчетным периодом)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достоверное предоставление отчетности в уполномоченный орган;</w:t>
            </w:r>
          </w:p>
          <w:p>
            <w:pPr>
              <w:spacing w:after="20"/>
              <w:ind w:left="20"/>
              <w:jc w:val="both"/>
            </w:pPr>
            <w:r>
              <w:rPr>
                <w:rFonts w:ascii="Times New Roman"/>
                <w:b w:val="false"/>
                <w:i w:val="false"/>
                <w:color w:val="000000"/>
                <w:sz w:val="20"/>
              </w:rPr>
              <w:t>Ежеквартальный отчет о проведенном внешнем контроле качества аудиторских организаций, не являющихся объектами внешнего контроля качества профессионального совета по аудиторской деятельности, профессиональной аудиторской организацией (до 15 числа месяца, следующего за отчетным периодом)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внешнего контроля качества профессиональной организацией в отношении аудиторских организаций, которые не являются объектами внешнего контроля качества профессионального совета один раз в 3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только аудиторов и аудиторских организаций, являющихся учредителями и участниками профессиональной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в течение 3 (трех) месяцев причин, по которым вынесено предупредительное письмо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изменениях уполномоченному органу в случае принятия (выбытия, исключения) членов, а также изменения персонального состава рабочего органа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внешнего контроля качества только аудиторами, осуществляющими свою деятельность в качестве аудитора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оснований внепланового внешнего контроля качества:</w:t>
            </w:r>
          </w:p>
          <w:p>
            <w:pPr>
              <w:spacing w:after="20"/>
              <w:ind w:left="20"/>
              <w:jc w:val="both"/>
            </w:pPr>
            <w:r>
              <w:rPr>
                <w:rFonts w:ascii="Times New Roman"/>
                <w:b w:val="false"/>
                <w:i w:val="false"/>
                <w:color w:val="000000"/>
                <w:sz w:val="20"/>
              </w:rPr>
              <w:t>в случае получения профессиональным советом или профессиональной организацией обращения на действия (бездействие) аудиторов, аудиторских организаций и профессиональных организаций;</w:t>
            </w:r>
          </w:p>
          <w:p>
            <w:pPr>
              <w:spacing w:after="20"/>
              <w:ind w:left="20"/>
              <w:jc w:val="both"/>
            </w:pPr>
            <w:r>
              <w:rPr>
                <w:rFonts w:ascii="Times New Roman"/>
                <w:b w:val="false"/>
                <w:i w:val="false"/>
                <w:color w:val="000000"/>
                <w:sz w:val="20"/>
              </w:rPr>
              <w:t>в случае несогласия с результатами работы аудиторов и (или) аудиторских организаций;</w:t>
            </w:r>
          </w:p>
          <w:p>
            <w:pPr>
              <w:spacing w:after="20"/>
              <w:ind w:left="20"/>
              <w:jc w:val="both"/>
            </w:pPr>
            <w:r>
              <w:rPr>
                <w:rFonts w:ascii="Times New Roman"/>
                <w:b w:val="false"/>
                <w:i w:val="false"/>
                <w:color w:val="000000"/>
                <w:sz w:val="20"/>
              </w:rPr>
              <w:t>по инициативе объектов внешнего контроля качества профессионального совета;</w:t>
            </w:r>
          </w:p>
          <w:p>
            <w:pPr>
              <w:spacing w:after="20"/>
              <w:ind w:left="20"/>
              <w:jc w:val="both"/>
            </w:pPr>
            <w:r>
              <w:rPr>
                <w:rFonts w:ascii="Times New Roman"/>
                <w:b w:val="false"/>
                <w:i w:val="false"/>
                <w:color w:val="000000"/>
                <w:sz w:val="20"/>
              </w:rPr>
              <w:t>по инициативе уполномоченного органа согласно поступившим обращениям, связанным с деятельностью аудиторов, аудиторских организаций и профессиональных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10 (десяти) процентов от средней численности, но не менее 5 (пяти) аудиторских организаций – членов профессиональной организации за 12 (двенадцать) календарных месяцев фактов лишения лицензии на осуществление аудиторской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планового внешнего контроля качества каждой аудиторской организацией по утвержденному внутреннему плану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проверки внешнего контроля качества аудиторами не превышают 10 (десять)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определения оценки по результатам внешнего контроля качества не превышают более 2 (двух)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внешнего контроля качества:</w:t>
            </w:r>
          </w:p>
          <w:p>
            <w:pPr>
              <w:spacing w:after="20"/>
              <w:ind w:left="20"/>
              <w:jc w:val="both"/>
            </w:pPr>
            <w:r>
              <w:rPr>
                <w:rFonts w:ascii="Times New Roman"/>
                <w:b w:val="false"/>
                <w:i w:val="false"/>
                <w:color w:val="000000"/>
                <w:sz w:val="20"/>
              </w:rPr>
              <w:t>вопросы по организации процедуры внешнего контроля качества;</w:t>
            </w:r>
          </w:p>
          <w:p>
            <w:pPr>
              <w:spacing w:after="20"/>
              <w:ind w:left="20"/>
              <w:jc w:val="both"/>
            </w:pPr>
            <w:r>
              <w:rPr>
                <w:rFonts w:ascii="Times New Roman"/>
                <w:b w:val="false"/>
                <w:i w:val="false"/>
                <w:color w:val="000000"/>
                <w:sz w:val="20"/>
              </w:rPr>
              <w:t>основания отвода (самоотвода) контролера либо других лиц, участвующих в процедуре внешнего контроля качества;</w:t>
            </w:r>
          </w:p>
          <w:p>
            <w:pPr>
              <w:spacing w:after="20"/>
              <w:ind w:left="20"/>
              <w:jc w:val="both"/>
            </w:pPr>
            <w:r>
              <w:rPr>
                <w:rFonts w:ascii="Times New Roman"/>
                <w:b w:val="false"/>
                <w:i w:val="false"/>
                <w:color w:val="000000"/>
                <w:sz w:val="20"/>
              </w:rPr>
              <w:t>программа и этапы проведения внешнего контроля качества;</w:t>
            </w:r>
          </w:p>
          <w:p>
            <w:pPr>
              <w:spacing w:after="20"/>
              <w:ind w:left="20"/>
              <w:jc w:val="both"/>
            </w:pPr>
            <w:r>
              <w:rPr>
                <w:rFonts w:ascii="Times New Roman"/>
                <w:b w:val="false"/>
                <w:i w:val="false"/>
                <w:color w:val="000000"/>
                <w:sz w:val="20"/>
              </w:rPr>
              <w:t>перечень документов аудиторской организации, подлежащих внешнему контролю качества, который включает учредительные и правоустанавливающие документы, лицензии, квалификационные свидетельства аудиторов, документы по повышению квалификации аудиторов, документы по кадровому составу, внутрифирменные документы по контролю качества аудита, рабочую документацию по выполненным аудиторским заданиям;</w:t>
            </w:r>
          </w:p>
          <w:p>
            <w:pPr>
              <w:spacing w:after="20"/>
              <w:ind w:left="20"/>
              <w:jc w:val="both"/>
            </w:pPr>
            <w:r>
              <w:rPr>
                <w:rFonts w:ascii="Times New Roman"/>
                <w:b w:val="false"/>
                <w:i w:val="false"/>
                <w:color w:val="000000"/>
                <w:sz w:val="20"/>
              </w:rPr>
              <w:t>критерии отбора проектов по аудиту, подвергающихся внешнему контролю качества, а также отбора контролеров, исключающие конфликт интересов (обеспечение независимости);</w:t>
            </w:r>
          </w:p>
          <w:p>
            <w:pPr>
              <w:spacing w:after="20"/>
              <w:ind w:left="20"/>
              <w:jc w:val="both"/>
            </w:pPr>
            <w:r>
              <w:rPr>
                <w:rFonts w:ascii="Times New Roman"/>
                <w:b w:val="false"/>
                <w:i w:val="false"/>
                <w:color w:val="000000"/>
                <w:sz w:val="20"/>
              </w:rPr>
              <w:t>достаточности ресурсов, направленных аудиторской организацией на выполнение договора оказания аудиторских услуг;</w:t>
            </w:r>
          </w:p>
          <w:p>
            <w:pPr>
              <w:spacing w:after="20"/>
              <w:ind w:left="20"/>
              <w:jc w:val="both"/>
            </w:pPr>
            <w:r>
              <w:rPr>
                <w:rFonts w:ascii="Times New Roman"/>
                <w:b w:val="false"/>
                <w:i w:val="false"/>
                <w:color w:val="000000"/>
                <w:sz w:val="20"/>
              </w:rPr>
              <w:t>вопросы проверки системы внутреннего контроля качества аудиторской организации;</w:t>
            </w:r>
          </w:p>
          <w:p>
            <w:pPr>
              <w:spacing w:after="20"/>
              <w:ind w:left="20"/>
              <w:jc w:val="both"/>
            </w:pPr>
            <w:r>
              <w:rPr>
                <w:rFonts w:ascii="Times New Roman"/>
                <w:b w:val="false"/>
                <w:i w:val="false"/>
                <w:color w:val="000000"/>
                <w:sz w:val="20"/>
              </w:rPr>
              <w:t>наличие правил внутреннего контроля и следующих программ их осуществления: программы организации внутреннего контроля в целях противодействия легализации (отмыванию) доходов, полученных преступным путем, и финансированию терроризма;</w:t>
            </w:r>
          </w:p>
          <w:p>
            <w:pPr>
              <w:spacing w:after="20"/>
              <w:ind w:left="20"/>
              <w:jc w:val="both"/>
            </w:pPr>
            <w:r>
              <w:rPr>
                <w:rFonts w:ascii="Times New Roman"/>
                <w:b w:val="false"/>
                <w:i w:val="false"/>
                <w:color w:val="000000"/>
                <w:sz w:val="20"/>
              </w:rPr>
              <w:t>программы управления риском легализации (отмывания) доходов, полученных преступным путем, и финансирования терроризма, учитывающую риски клиентов и риски использования услуг в преступных целях, включая риск использования технологических достижений;</w:t>
            </w:r>
          </w:p>
          <w:p>
            <w:pPr>
              <w:spacing w:after="20"/>
              <w:ind w:left="20"/>
              <w:jc w:val="both"/>
            </w:pPr>
            <w:r>
              <w:rPr>
                <w:rFonts w:ascii="Times New Roman"/>
                <w:b w:val="false"/>
                <w:i w:val="false"/>
                <w:color w:val="000000"/>
                <w:sz w:val="20"/>
              </w:rPr>
              <w:t>программы идентификации клиентов;</w:t>
            </w:r>
          </w:p>
          <w:p>
            <w:pPr>
              <w:spacing w:after="20"/>
              <w:ind w:left="20"/>
              <w:jc w:val="both"/>
            </w:pPr>
            <w:r>
              <w:rPr>
                <w:rFonts w:ascii="Times New Roman"/>
                <w:b w:val="false"/>
                <w:i w:val="false"/>
                <w:color w:val="000000"/>
                <w:sz w:val="20"/>
              </w:rPr>
              <w:t>программы мониторинга и изучения операций клиентов, включая изучение сложных, необычно крупных и других необычных операций клиентов;</w:t>
            </w:r>
          </w:p>
          <w:p>
            <w:pPr>
              <w:spacing w:after="20"/>
              <w:ind w:left="20"/>
              <w:jc w:val="both"/>
            </w:pPr>
            <w:r>
              <w:rPr>
                <w:rFonts w:ascii="Times New Roman"/>
                <w:b w:val="false"/>
                <w:i w:val="false"/>
                <w:color w:val="000000"/>
                <w:sz w:val="20"/>
              </w:rPr>
              <w:t xml:space="preserve"> программы подготовки и обучения сотрудников субъектов финансового мониторинга по вопросам противодействия легализации (отмыванию) доходов, полученных преступным путем, и финансированию терроризма;</w:t>
            </w:r>
          </w:p>
          <w:p>
            <w:pPr>
              <w:spacing w:after="20"/>
              <w:ind w:left="20"/>
              <w:jc w:val="both"/>
            </w:pPr>
            <w:r>
              <w:rPr>
                <w:rFonts w:ascii="Times New Roman"/>
                <w:b w:val="false"/>
                <w:i w:val="false"/>
                <w:color w:val="000000"/>
                <w:sz w:val="20"/>
              </w:rPr>
              <w:t>вопросы внешнего контроля качества отдельных аудиторских заданий;</w:t>
            </w:r>
          </w:p>
          <w:p>
            <w:pPr>
              <w:spacing w:after="20"/>
              <w:ind w:left="20"/>
              <w:jc w:val="both"/>
            </w:pPr>
            <w:r>
              <w:rPr>
                <w:rFonts w:ascii="Times New Roman"/>
                <w:b w:val="false"/>
                <w:i w:val="false"/>
                <w:color w:val="000000"/>
                <w:sz w:val="20"/>
              </w:rPr>
              <w:t>меры по обеспечению защиты информации, доступ к которой получен комитетом по контролю качества и профессиональной организацией в ходе проведения внешнего контроля качества;</w:t>
            </w:r>
          </w:p>
          <w:p>
            <w:pPr>
              <w:spacing w:after="20"/>
              <w:ind w:left="20"/>
              <w:jc w:val="both"/>
            </w:pPr>
            <w:r>
              <w:rPr>
                <w:rFonts w:ascii="Times New Roman"/>
                <w:b w:val="false"/>
                <w:i w:val="false"/>
                <w:color w:val="000000"/>
                <w:sz w:val="20"/>
              </w:rPr>
              <w:t>отчетность контролеров и оформление результатов прохождения аудиторской организацией внешнего контроля качества;</w:t>
            </w:r>
          </w:p>
          <w:p>
            <w:pPr>
              <w:spacing w:after="20"/>
              <w:ind w:left="20"/>
              <w:jc w:val="both"/>
            </w:pPr>
            <w:r>
              <w:rPr>
                <w:rFonts w:ascii="Times New Roman"/>
                <w:b w:val="false"/>
                <w:i w:val="false"/>
                <w:color w:val="000000"/>
                <w:sz w:val="20"/>
              </w:rPr>
              <w:t>меры по реализации аудиторской организацией результатов прохождения внешнего контроля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9" w:id="120"/>
      <w:r>
        <w:rPr>
          <w:rFonts w:ascii="Times New Roman"/>
          <w:b w:val="false"/>
          <w:i w:val="false"/>
          <w:color w:val="000000"/>
          <w:sz w:val="28"/>
        </w:rPr>
        <w:t>
      Должностное (ые) лицо (а)____________________________________________</w:t>
      </w:r>
    </w:p>
    <w:bookmarkEnd w:id="120"/>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2023 года № 99</w:t>
            </w:r>
            <w:r>
              <w:br/>
            </w:r>
            <w:r>
              <w:rPr>
                <w:rFonts w:ascii="Times New Roman"/>
                <w:b w:val="false"/>
                <w:i w:val="false"/>
                <w:color w:val="000000"/>
                <w:sz w:val="20"/>
              </w:rPr>
              <w:t>и 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2023 года № 606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2019 года № 724</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2019 года № 65</w:t>
            </w:r>
          </w:p>
        </w:tc>
      </w:tr>
    </w:tbl>
    <w:bookmarkStart w:name="z142" w:id="121"/>
    <w:p>
      <w:pPr>
        <w:spacing w:after="0"/>
        <w:ind w:left="0"/>
        <w:jc w:val="left"/>
      </w:pPr>
      <w:r>
        <w:rPr>
          <w:rFonts w:ascii="Times New Roman"/>
          <w:b/>
          <w:i w:val="false"/>
          <w:color w:val="000000"/>
        </w:rPr>
        <w:t xml:space="preserve"> Проверочный лист</w:t>
      </w:r>
    </w:p>
    <w:bookmarkEnd w:id="121"/>
    <w:p>
      <w:pPr>
        <w:spacing w:after="0"/>
        <w:ind w:left="0"/>
        <w:jc w:val="both"/>
      </w:pPr>
      <w:bookmarkStart w:name="z143" w:id="122"/>
      <w:r>
        <w:rPr>
          <w:rFonts w:ascii="Times New Roman"/>
          <w:b w:val="false"/>
          <w:i w:val="false"/>
          <w:color w:val="000000"/>
          <w:sz w:val="28"/>
        </w:rPr>
        <w:t xml:space="preserve">
      в области аудиторской деятельности в соответствии со </w:t>
      </w:r>
      <w:r>
        <w:rPr>
          <w:rFonts w:ascii="Times New Roman"/>
          <w:b w:val="false"/>
          <w:i w:val="false"/>
          <w:color w:val="000000"/>
          <w:sz w:val="28"/>
        </w:rPr>
        <w:t>статьей 138</w:t>
      </w:r>
    </w:p>
    <w:bookmarkEnd w:id="122"/>
    <w:p>
      <w:pPr>
        <w:spacing w:after="0"/>
        <w:ind w:left="0"/>
        <w:jc w:val="both"/>
      </w:pPr>
      <w:r>
        <w:rPr>
          <w:rFonts w:ascii="Times New Roman"/>
          <w:b w:val="false"/>
          <w:i w:val="false"/>
          <w:color w:val="000000"/>
          <w:sz w:val="28"/>
        </w:rPr>
        <w:t>Предпринимательского кодекса Республики Казахстан в отношении аудиторских</w:t>
      </w:r>
    </w:p>
    <w:p>
      <w:pPr>
        <w:spacing w:after="0"/>
        <w:ind w:left="0"/>
        <w:jc w:val="both"/>
      </w:pPr>
      <w:r>
        <w:rPr>
          <w:rFonts w:ascii="Times New Roman"/>
          <w:b w:val="false"/>
          <w:i w:val="false"/>
          <w:color w:val="000000"/>
          <w:sz w:val="28"/>
        </w:rPr>
        <w:t>организаций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______________________________________________</w:t>
      </w:r>
    </w:p>
    <w:p>
      <w:pPr>
        <w:spacing w:after="0"/>
        <w:ind w:left="0"/>
        <w:jc w:val="both"/>
      </w:pPr>
      <w:r>
        <w:rPr>
          <w:rFonts w:ascii="Times New Roman"/>
          <w:b w:val="false"/>
          <w:i w:val="false"/>
          <w:color w:val="000000"/>
          <w:sz w:val="28"/>
        </w:rPr>
        <w:t>__________________________________________________________ № _____ дата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аудиторов в составе аудиторской организации не менее 2 (двух) человек (в том числе руководителя и (или) учредителей (участников)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аудитором своей деятельности в качестве аудитора только в составе одной аудиторской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уставном капитале стопроцентной доли, принадлежащей аудитору (аудиторам) и (или) иностранной (иностранным) аудиторским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сведений в отношении руководителя аудиторской организации о лишении лицензии в соответствии с законодательными актами Республики Казахстан ранее возглавляемой им аудиторской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аудиторской организации, а также у аудиторов квалификационного свидетельства о присвоении квалификации "аудитор", выданного Квалификационной комиссией по аттестации кандидатов в аудиторы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филиала квалификационного свидетельства "аудитор" при создании филиала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субъектом среднего или крупного предпринимательства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Аудиторская организация, осуществляющая аудиторскую деятельность на территории Республики Казахстан, не является участником другой аудиторской организации - 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4" w:id="123"/>
      <w:r>
        <w:rPr>
          <w:rFonts w:ascii="Times New Roman"/>
          <w:b w:val="false"/>
          <w:i w:val="false"/>
          <w:color w:val="000000"/>
          <w:sz w:val="28"/>
        </w:rPr>
        <w:t>
      Должностное (ые) лицо (а) _____________________________________________</w:t>
      </w:r>
    </w:p>
    <w:bookmarkEnd w:id="12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2023 года № 99</w:t>
            </w:r>
            <w:r>
              <w:br/>
            </w:r>
            <w:r>
              <w:rPr>
                <w:rFonts w:ascii="Times New Roman"/>
                <w:b w:val="false"/>
                <w:i w:val="false"/>
                <w:color w:val="000000"/>
                <w:sz w:val="20"/>
              </w:rPr>
              <w:t>и 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2023 года № 606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2019 года № 724</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2019 года № 65</w:t>
            </w:r>
          </w:p>
        </w:tc>
      </w:tr>
    </w:tbl>
    <w:bookmarkStart w:name="z147" w:id="124"/>
    <w:p>
      <w:pPr>
        <w:spacing w:after="0"/>
        <w:ind w:left="0"/>
        <w:jc w:val="left"/>
      </w:pPr>
      <w:r>
        <w:rPr>
          <w:rFonts w:ascii="Times New Roman"/>
          <w:b/>
          <w:i w:val="false"/>
          <w:color w:val="000000"/>
        </w:rPr>
        <w:t xml:space="preserve"> Проверочный лист</w:t>
      </w:r>
    </w:p>
    <w:bookmarkEnd w:id="124"/>
    <w:p>
      <w:pPr>
        <w:spacing w:after="0"/>
        <w:ind w:left="0"/>
        <w:jc w:val="both"/>
      </w:pPr>
      <w:bookmarkStart w:name="z148" w:id="125"/>
      <w:r>
        <w:rPr>
          <w:rFonts w:ascii="Times New Roman"/>
          <w:b w:val="false"/>
          <w:i w:val="false"/>
          <w:color w:val="000000"/>
          <w:sz w:val="28"/>
        </w:rPr>
        <w:t xml:space="preserve">
      в области аудиторской деятельности в соответствии со </w:t>
      </w:r>
      <w:r>
        <w:rPr>
          <w:rFonts w:ascii="Times New Roman"/>
          <w:b w:val="false"/>
          <w:i w:val="false"/>
          <w:color w:val="000000"/>
          <w:sz w:val="28"/>
        </w:rPr>
        <w:t>статьей 138</w:t>
      </w:r>
    </w:p>
    <w:bookmarkEnd w:id="125"/>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профессиональных аудиторских организаций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 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_____________________________________________</w:t>
      </w:r>
    </w:p>
    <w:p>
      <w:pPr>
        <w:spacing w:after="0"/>
        <w:ind w:left="0"/>
        <w:jc w:val="both"/>
      </w:pPr>
      <w:r>
        <w:rPr>
          <w:rFonts w:ascii="Times New Roman"/>
          <w:b w:val="false"/>
          <w:i w:val="false"/>
          <w:color w:val="000000"/>
          <w:sz w:val="28"/>
        </w:rPr>
        <w:t>____________________________________________________ № __________ дата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Учредителями и участниками профессиональных организаций являются только аудиторы и аудиторские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Аудиторы и аудиторские организации выступают членами только одной профессиональной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управления профессиональных организаций формируется из числа аудиторов – членов профессиональной организации в количестве не менее трех аудиторов с опытом работы в области аудита в течение трех лет из последних пяти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профессиональной организации рабочих органов:</w:t>
            </w:r>
          </w:p>
          <w:p>
            <w:pPr>
              <w:spacing w:after="20"/>
              <w:ind w:left="20"/>
              <w:jc w:val="both"/>
            </w:pPr>
            <w:r>
              <w:rPr>
                <w:rFonts w:ascii="Times New Roman"/>
                <w:b w:val="false"/>
                <w:i w:val="false"/>
                <w:color w:val="000000"/>
                <w:sz w:val="20"/>
              </w:rPr>
              <w:t>по контролю качества</w:t>
            </w:r>
          </w:p>
          <w:p>
            <w:pPr>
              <w:spacing w:after="20"/>
              <w:ind w:left="20"/>
              <w:jc w:val="both"/>
            </w:pPr>
            <w:r>
              <w:rPr>
                <w:rFonts w:ascii="Times New Roman"/>
                <w:b w:val="false"/>
                <w:i w:val="false"/>
                <w:color w:val="000000"/>
                <w:sz w:val="20"/>
              </w:rPr>
              <w:t>по международным стандартам аудита и финансовой отчетности;</w:t>
            </w:r>
          </w:p>
          <w:p>
            <w:pPr>
              <w:spacing w:after="20"/>
              <w:ind w:left="20"/>
              <w:jc w:val="both"/>
            </w:pPr>
            <w:r>
              <w:rPr>
                <w:rFonts w:ascii="Times New Roman"/>
                <w:b w:val="false"/>
                <w:i w:val="false"/>
                <w:color w:val="000000"/>
                <w:sz w:val="20"/>
              </w:rPr>
              <w:t>по повышению квалификации аудиторов;</w:t>
            </w:r>
          </w:p>
          <w:p>
            <w:pPr>
              <w:spacing w:after="20"/>
              <w:ind w:left="20"/>
              <w:jc w:val="both"/>
            </w:pPr>
            <w:r>
              <w:rPr>
                <w:rFonts w:ascii="Times New Roman"/>
                <w:b w:val="false"/>
                <w:i w:val="false"/>
                <w:color w:val="000000"/>
                <w:sz w:val="20"/>
              </w:rPr>
              <w:t>по вопросам этики;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9" w:id="126"/>
      <w:r>
        <w:rPr>
          <w:rFonts w:ascii="Times New Roman"/>
          <w:b w:val="false"/>
          <w:i w:val="false"/>
          <w:color w:val="000000"/>
          <w:sz w:val="28"/>
        </w:rPr>
        <w:t>
      Должностное (ые) лицо (а)____________________________________________</w:t>
      </w:r>
    </w:p>
    <w:bookmarkEnd w:id="126"/>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