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a3ebb0" w14:textId="0a3ebb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совместный приказ Заместителя Премьер-Министра - Министра торговли и интеграции Республики Казахстан от 14 марта 2022 года № 140-НҚ и Министра национальной экономики Республики Казахстан от 15 марта 2022 года № 23 "Об утверждении критериев оценки степени риска и проверочных листов за соблюдением законодательства Республики Казахстан об аккредитации в области оценки соответствия"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Совместный приказ Заместителя Премьер-Министра - Министра торговли и интеграции Республики Казахстан от 12 июня 2023 года № 222-НҚ и Министра национальной экономики Республики Казахстан от 12 июня 2023 года № 107. Зарегистрирован в Министерстве юстиции Республики Казахстан 13 июня 2023 года № 32770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ПРИКАЗЫВАЕМ: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совместный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Заместителя Премьер-Министра - Министра торговли и интеграции Республики Казахстан от 14 марта 2022 года № 140-НҚ и Министра национальной экономики Республики Казахстан от 15 марта 2022 года № 23 "Об утверждении критериев оценки степени риска и проверочных листов за соблюдением законодательства Республики Казахстан об аккредитации в области оценки соответствия" (зарегистрирован в Реестре государственной регистрации нормативных правовых актов под № 27176) следующие изменения и дополнение: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критериях оценки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степени риска за соблюдением законодательства Республики Казахстан об аккредитации в области оценки соответствия, утвержденных приложением 1 к указанному приказу: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В настоящих Критериях используются следующие понятия: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риск в области аккредитации и оценки соответствия – вероятность причинения вреда в результате деятельности субъекта контроля жизни или здоровью человека, законным интересам физических и юридических лиц, имущественным интересам государства с учетом степени тяжести его последствий;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субъекты (объекты) контроля - субъекты (объекты) осуществляющие деятельность по аккредитации, метрологическую аттестацию методик выполнения измерений, поверку средств измерений, испытания, работу по подтверждению соответствия продукции, процессов, услуг;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балл – количественная мера исчисления риска;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нормализация данных – статистическая процедура, предусматривающая приведение значений, измеренных в различных шкалах, к условно общей шкале;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значительные нарушения – нарушения требований законодательства Республики Казахстан об аккредитации в области оценки соответствия, создающие предпосылки для возникновения угрозы вреда жизни, здоровью населения, затрагивающие законные интересы физических и юридических лиц, государства;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незначительные нарушения – нарушения требований законодательства Республики Казахстан об аккредитации в области оценки соответствия, не относящиеся к значительным и грубым нарушениям;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грубые нарушения – нарушения требований законодательства Республики Казахстан об аккредитации в области оценки соответствия, влекущие необоснованную выдачу и (или) не выдачу документов оценки соответствия и аттестатов аккредитации, создающие угрозы вреда жизни, здоровью населения, затрагивающие законные интересы физических и юридических лиц;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критерии оценки степени риска – совокупность количественных и качественных показателей, связанных с непосредственной деятельностью субъекта контроля, особенностями отраслевого развития и факторами, влияющими на это развитие, позволяющих отнести субъекты (объекты) контроля к различным степеням риска;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объективные критерии оценки степени риска (далее – объективные критерии) – критерии оценки степени риска, используемые для отбора субъектов (объектов) контроля в зависимости от степени риска в определенной сфере деятельности и не зависящие непосредственно от отдельного субъекта (объекта) контроля;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субъективные критерии оценки степени риска (далее – субъективные критерии) – критерии оценки степени риска, используемые для отбора субъектов (объектов) контроля в зависимости от результатов деятельности конкретного субъекта (объекта) контроля.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система оценки и управления рисками – процесс принятия управленческих решений, направленных на снижение вероятности наступления неблагоприятных факторов путем распределения субъектов (объектов) контроля по степеням риска для последующего осуществления профилактического контроля с посещением субъекта (объекта) контроля с целью минимально возможной степени ограничения свободы предпринимательства, обеспечивая при этом допустимый уровень риска в сфере аккредитации и оценки соответствия, а также направленных на изменение уровня риска для конкретного субъекта (объекта) контроля и (или) освобождения такого субъекта (объекта) контроля от профилактического контроля с посещением субъекта (объекта) контроля;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проверочный лист - перечень требований, предъявляемых к деятельности субъектов (объектов) контроля, несоблюдение которых влечет за собой угрозу жизни и здоровью человека, законным интересам физических и юридических лиц, государства;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13) выборочная совокупность (выборка) – перечень оцениваемых субъектов (объектов), относимых к однородной группе субъектов (объектов) контроля,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143 Кодекса.";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Критерии оценки степени риска в области аккредитации и оценки соответствия для профилактического контроля с посещением субъекта (объекта) контроля формируются посредством объективных и субъективных критериев, которые осуществляются поэтапно (Мультикритериальный анализ решений).";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Для оценки степени риска используются следующие источники информации: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результаты профилактического контроля без посещения субъекта (объекта) контроля (итоговые документы, выданные по итогам профилактического контроля без посещения субъекта (объекта) контроля);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результаты предыдущих проверок и профилактического контроля с посещением субъектов (объектов) контроля;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результаты анализа сведений, представляемых государственными органами и организациями.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основании имеющихся источников информации, орган государственного контроля в области аккредитации и оценки соответствия формирует субъективные критерии, подлежащие оценке.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Анализ и оценка субъективных критериев позволяет сконцентрировать проведение профилактического контроля субъекта (объекта) контроля в отношении субъекта (объекта) контроля с наибольшим потенциальным риском.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при анализе и оценке не применяются данные субъективных критериев, ранее учтенные и использованные в отношении конкретного субъекта (объекта) контроля либо данные, по которым истек срок исковой давности в соответствии с законодательством Республики Казахстан.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отношении субъектов контроля, устранивших в полном объеме выданные нарушения по итогам проведенного предыдущего профилактического контроля с посещением, не допускается включение их при формировании списков на очередной период государственного контроля."</w:t>
      </w:r>
    </w:p>
    <w:bookmarkEnd w:id="2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"10. Субъективные критерии оценки степени риска по источникам информации для определения отраслевых рисков приведены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критериям.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Субъективные критерии с распределением по степени значимости нарушений в области аккредитации и оценки соответствия приведены в 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критериям.";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12-1 следующего содержания: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"12-1. При формировании системы оценки рисков с использованием информационных систем, расчет показателя степени риска по субъективным критериям, а также показатели степени риска, осуществляется на основе перечня субъективных критериев согласно приложению 1 к настоящим критериям.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 показателя степени риска по субъективным критериям (R) осуществляется в автоматизированном режиме путем суммирования показателя степени риска по нарушениям по результатам предыдущих проверок и профилактического контроля с посещением субъектов (объектов) контроля (SP) и показателя степени риска по субъективным критериям (SC), с последующей нормализацией значений данных в диапазон от 0 до 100 баллов.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R</w:t>
      </w:r>
      <w:r>
        <w:rPr>
          <w:rFonts w:ascii="Times New Roman"/>
          <w:b w:val="false"/>
          <w:i w:val="false"/>
          <w:color w:val="000000"/>
          <w:vertAlign w:val="subscript"/>
        </w:rPr>
        <w:t>пром</w:t>
      </w:r>
      <w:r>
        <w:rPr>
          <w:rFonts w:ascii="Times New Roman"/>
          <w:b w:val="false"/>
          <w:i w:val="false"/>
          <w:color w:val="000000"/>
          <w:sz w:val="28"/>
        </w:rPr>
        <w:t xml:space="preserve"> = SP + SC, где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R</w:t>
      </w:r>
      <w:r>
        <w:rPr>
          <w:rFonts w:ascii="Times New Roman"/>
          <w:b w:val="false"/>
          <w:i w:val="false"/>
          <w:color w:val="000000"/>
          <w:vertAlign w:val="subscript"/>
        </w:rPr>
        <w:t>пром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промежуточный показатель степени риска по субъективным критериям,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SР – показатель степени риска по нарушениям,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SC – показатель степени риска по субъективным критериям.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 производится по каждому субъекту (объекту) контроля однородной группы субъектов (объектов) контроля каждой сферы государственного контроля. При этом перечень оцениваемых субъектов (объектов) контроля, относимых к однородной группе субъектов (объектов) контроля одной сферы государственного контроля, образует выборочную совокупность (выборку) для последующей нормализации данных.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 показателя степени риска по субъективным критериям производится по шкале от 0 до 100 баллов и осуществляется по следующей формуле: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37"/>
    <w:p>
      <w:pPr>
        <w:spacing w:after="0"/>
        <w:ind w:left="0"/>
        <w:jc w:val="both"/>
      </w:pPr>
      <w:r>
        <w:drawing>
          <wp:inline distT="0" distB="0" distL="0" distR="0">
            <wp:extent cx="2438400" cy="889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88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38"/>
    <w:p>
      <w:pPr>
        <w:spacing w:after="0"/>
        <w:ind w:left="0"/>
        <w:jc w:val="both"/>
      </w:pPr>
      <w:r>
        <w:drawing>
          <wp:inline distT="0" distB="0" distL="0" distR="0">
            <wp:extent cx="317500" cy="304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175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– показатель субъективного критерия,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39"/>
    <w:p>
      <w:pPr>
        <w:spacing w:after="0"/>
        <w:ind w:left="0"/>
        <w:jc w:val="both"/>
      </w:pPr>
      <w:r>
        <w:drawing>
          <wp:inline distT="0" distB="0" distL="0" distR="0">
            <wp:extent cx="393700" cy="317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93700" cy="31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– удельный вес показателя субъективного критерия 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n – количество показателей.</w:t>
      </w:r>
    </w:p>
    <w:bookmarkEnd w:id="40"/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Полученное значение показателя степени риска по субъективным критериям включается в расчет показателя степени риска по субъективным критериям.</w:t>
      </w:r>
    </w:p>
    <w:bookmarkEnd w:id="41"/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Рассчитанные по субъектам (объектам) значения по показателю нормализуются в диапазон от 0 до 100 баллов. Нормализация данных осуществляется по каждой выборочной совокупности (выборке) с использованием следующей формулы:</w:t>
      </w:r>
    </w:p>
    <w:bookmarkEnd w:id="42"/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43"/>
    <w:p>
      <w:pPr>
        <w:spacing w:after="0"/>
        <w:ind w:left="0"/>
        <w:jc w:val="both"/>
      </w:pPr>
      <w:r>
        <w:drawing>
          <wp:inline distT="0" distB="0" distL="0" distR="0">
            <wp:extent cx="1803400" cy="647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034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R – показатель степени риска (итоговый) по субъективным критериям отдельного субъекта (объекта) контроля,</w:t>
      </w:r>
    </w:p>
    <w:bookmarkEnd w:id="44"/>
    <w:bookmarkStart w:name="z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R</w:t>
      </w:r>
      <w:r>
        <w:rPr>
          <w:rFonts w:ascii="Times New Roman"/>
          <w:b w:val="false"/>
          <w:i w:val="false"/>
          <w:color w:val="000000"/>
          <w:vertAlign w:val="subscript"/>
        </w:rPr>
        <w:t>max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максимально возможное значение по шкале степени риска по субъективным критериям по субъектам (объектам), входящим в одну выборочную совокупность (выборку) (верхняя граница шкалы),</w:t>
      </w:r>
    </w:p>
    <w:bookmarkEnd w:id="45"/>
    <w:bookmarkStart w:name="z5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R</w:t>
      </w:r>
      <w:r>
        <w:rPr>
          <w:rFonts w:ascii="Times New Roman"/>
          <w:b w:val="false"/>
          <w:i w:val="false"/>
          <w:color w:val="000000"/>
          <w:vertAlign w:val="subscript"/>
        </w:rPr>
        <w:t>min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минимально возможное значение по шкале степени риска по субъективным критериям по субъектам (объектам), входящим в одну выборочную совокупность (выборку) (нижняя граница шкалы),</w:t>
      </w:r>
    </w:p>
    <w:bookmarkEnd w:id="46"/>
    <w:bookmarkStart w:name="z5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R</w:t>
      </w:r>
      <w:r>
        <w:rPr>
          <w:rFonts w:ascii="Times New Roman"/>
          <w:b w:val="false"/>
          <w:i w:val="false"/>
          <w:color w:val="000000"/>
          <w:vertAlign w:val="subscript"/>
        </w:rPr>
        <w:t>пром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промежуточный показатель степени риска по субъективным критериям.";</w:t>
      </w:r>
    </w:p>
    <w:bookmarkEnd w:id="4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критериям оценки степени риска за соблюдением законодательства Республики Казахстан об аккредитации в области оценки соответствия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совместному приказу;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критериям оценки степени риска за соблюдением законодательства Республики Казахстан об аккредитации в области оценки соответствия: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наименование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59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"Степени нарушения требований к субъектам (объектам) контроля в области аккредитации и оценки соответствия при проведении профилактического контроля с посещением, и внеплановых проверок";</w:t>
      </w:r>
    </w:p>
    <w:bookmarkEnd w:id="48"/>
    <w:bookmarkStart w:name="z60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строку следующего содержания: </w:t>
      </w:r>
    </w:p>
    <w:bookmarkEnd w:id="49"/>
    <w:bookmarkStart w:name="z61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5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Критерии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Степень нарушения</w:t>
            </w:r>
          </w:p>
        </w:tc>
      </w:tr>
    </w:tbl>
    <w:bookmarkStart w:name="z62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 </w:t>
      </w:r>
    </w:p>
    <w:bookmarkEnd w:id="51"/>
    <w:bookmarkStart w:name="z63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</w:p>
    <w:bookmarkEnd w:id="52"/>
    <w:bookmarkStart w:name="z64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5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требования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Степень нарушения</w:t>
            </w:r>
          </w:p>
        </w:tc>
      </w:tr>
    </w:tbl>
    <w:bookmarkStart w:name="z65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5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критериям оценки степени риска за соблюдением законодательства Республики Казахстан об аккредитации в области оценки соответствия исключить.</w:t>
      </w:r>
    </w:p>
    <w:bookmarkStart w:name="z67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технического регулирования и метрологии Министерства торговли и интеграции Республики Казахстан в установленном законодательством порядке обеспечить:</w:t>
      </w:r>
    </w:p>
    <w:bookmarkEnd w:id="55"/>
    <w:bookmarkStart w:name="z68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совместного приказа в Министерстве юстиции Республики Казахстан;</w:t>
      </w:r>
    </w:p>
    <w:bookmarkEnd w:id="56"/>
    <w:bookmarkStart w:name="z69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совместного приказа на интернет-ресурсе Министерства торговли и интеграции Республики Казахстан.</w:t>
      </w:r>
    </w:p>
    <w:bookmarkEnd w:id="57"/>
    <w:bookmarkStart w:name="z70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совместного приказа возложить на курирующего вице-министра торговли и интеграции Республики Казахстан.</w:t>
      </w:r>
    </w:p>
    <w:bookmarkEnd w:id="58"/>
    <w:bookmarkStart w:name="z71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5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  <w:tblLayout w:type="fixed"/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Министр</w:t>
                  </w:r>
                </w:p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национальной экономики</w:t>
                  </w: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Республики Казахстан</w:t>
                  </w: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__________А. Куантыров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  <w:p>
                  <w:pPr>
                    <w:spacing w:after="0"/>
                    <w:ind w:left="0"/>
                    <w:jc w:val="left"/>
                  </w:pPr>
                </w:p>
              </w:tc>
            </w:tr>
          </w:tbl>
          <w:p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  <w:tblLayout w:type="fixed"/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 xml:space="preserve">Заместитель Премьер-Министра - </w:t>
                  </w:r>
                </w:p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Министр торговли и интеграции</w:t>
                  </w: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Республики Казахстан</w:t>
                  </w: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__________С. Жумангарин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  <w:p>
                  <w:pPr>
                    <w:spacing w:after="0"/>
                    <w:ind w:left="0"/>
                    <w:jc w:val="left"/>
                  </w:pPr>
                </w:p>
              </w:tc>
            </w:tr>
          </w:tbl>
          <w:p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74" w:id="60"/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Комитет по правовой статистике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специальным учетам Генеральной прокуратуры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совместному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июня 2023 года № 107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Премьер-Министра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торговли и интеграции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июня 2023 года № 222-НҚ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критериям оценки степени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риска за соблюдением законодательства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аккредитации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оценки соответствия</w:t>
            </w:r>
          </w:p>
        </w:tc>
      </w:tr>
    </w:tbl>
    <w:bookmarkStart w:name="z77" w:id="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субъективных критериев для определения степени риска по субъективным критериям</w:t>
      </w:r>
    </w:p>
    <w:bookmarkEnd w:id="61"/>
    <w:p>
      <w:pPr>
        <w:spacing w:after="0"/>
        <w:ind w:left="0"/>
        <w:jc w:val="both"/>
      </w:pPr>
      <w:bookmarkStart w:name="z78" w:id="62"/>
      <w:r>
        <w:rPr>
          <w:rFonts w:ascii="Times New Roman"/>
          <w:b w:val="false"/>
          <w:i w:val="false"/>
          <w:color w:val="000000"/>
          <w:sz w:val="28"/>
        </w:rPr>
        <w:t>
      За соблюдением законодательства Республики Казахстан об аккредитации в области оценки соответствия</w:t>
      </w:r>
    </w:p>
    <w:bookmarkEnd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138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Предпринимательского кодекса Республики Казахстан в отношении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наименование однородной группы субъектов (объектов)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контроля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 субъективного критерия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Источник информации по показателю субъективного критерия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вес по значимости, балл (в сумме не должен превышать 100 баллов), wi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условие 1/значение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условие 2/значение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профилактического контроля с посещением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отношении органа по аккредитации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Непредставление информации по исполнению рекомендации, выданной в рамках проведенного профилактического контроля без посещения субъектов (объектов) контроля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профилактического контроля без посещения субъекта (объекта) контроля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баллов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 отсутствия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100%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отношении юридических лиц, осуществляющих метрологическую аттестацию методик выполнения измерений, поверочной лаборатории (центра), органа по подтверждению соответствия и испытательной лаборатории (центра)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Непредставление информации по исполнению рекомендации, выданной в рамках проведенного профилактического контроля без посещения субъектов (объектов) контроля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профилактического контроля без посещения субъекта (объекта) контроля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баллов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 отсутствия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100%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подтвержденных сведений о нарушениях законодательства Республики Казахстан об аккредитации в области оценки соответствия и несоответствии критериям аккредитации по результатам плановых и внеплановых оценок, а также мониторинга деятельности субъекта аккредитации органом по аккредитации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анализа сведений, представляемых государственными органами и организациями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баллов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100%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