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edf18" w14:textId="32edf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совместный приказ Министра сельского хозяйства Республики Казахстан от 10 июля 2019 года № 259 и Министра национальной экономики Республики Казахстан от 12 июля 2019 года № 63 "Об утверждении критериев оценки степени рисков и проверочных листов в области регулирования рынка зерна"</w:t>
      </w:r>
    </w:p>
    <w:p>
      <w:pPr>
        <w:spacing w:after="0"/>
        <w:ind w:left="0"/>
        <w:jc w:val="both"/>
      </w:pPr>
      <w:r>
        <w:rPr>
          <w:rFonts w:ascii="Times New Roman"/>
          <w:b w:val="false"/>
          <w:i w:val="false"/>
          <w:color w:val="000000"/>
          <w:sz w:val="28"/>
        </w:rPr>
        <w:t>Совместный приказ Министра сельского хозяйства Республики Казахстан от 19 июня 2023 года № 235 и Министра национальной экономики Республики Казахстан от 20 июня 2023 года № 120. Зарегистрирован в Министерстве юстиции Республики Казахстан 21 июня 2023 года № 32867</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сельского хозяйства Республики Казахстан от 10 июля 2019 года № 259 и Министра национальной экономики Республики Казахстан от 12 июля 2019 года № 63 "Об утверждении критериев оценки степени рисков и проверочных листов в области регулирования рынка зерна" (зарегистрирован в Реестре государственной регистрации нормативных правовых актов № 19025)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3-1)</w:t>
      </w:r>
      <w:r>
        <w:rPr>
          <w:rFonts w:ascii="Times New Roman"/>
          <w:b w:val="false"/>
          <w:i w:val="false"/>
          <w:color w:val="000000"/>
          <w:sz w:val="28"/>
        </w:rPr>
        <w:t xml:space="preserve"> пункта 1 изложить в следующей редакции:</w:t>
      </w:r>
    </w:p>
    <w:bookmarkStart w:name="z7" w:id="2"/>
    <w:p>
      <w:pPr>
        <w:spacing w:after="0"/>
        <w:ind w:left="0"/>
        <w:jc w:val="both"/>
      </w:pPr>
      <w:r>
        <w:rPr>
          <w:rFonts w:ascii="Times New Roman"/>
          <w:b w:val="false"/>
          <w:i w:val="false"/>
          <w:color w:val="000000"/>
          <w:sz w:val="28"/>
        </w:rPr>
        <w:t xml:space="preserve">
      "3-1) проверочный лист в области регулирования рынка зерна для хлебоприемных предприятий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совместному приказу;";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совместному приказу.</w:t>
      </w:r>
    </w:p>
    <w:bookmarkStart w:name="z9" w:id="3"/>
    <w:p>
      <w:pPr>
        <w:spacing w:after="0"/>
        <w:ind w:left="0"/>
        <w:jc w:val="both"/>
      </w:pPr>
      <w:r>
        <w:rPr>
          <w:rFonts w:ascii="Times New Roman"/>
          <w:b w:val="false"/>
          <w:i w:val="false"/>
          <w:color w:val="000000"/>
          <w:sz w:val="28"/>
        </w:rPr>
        <w:t>
      2. Департаменту земледелия Министерства сельского хозяйства Республики Казахстан в установленном законодательством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сельского хозяйства Республики Казахстан после его официального опубликования.</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сельского хозяйства Республики Казахстан.</w:t>
      </w:r>
    </w:p>
    <w:bookmarkEnd w:id="6"/>
    <w:bookmarkStart w:name="z13" w:id="7"/>
    <w:p>
      <w:pPr>
        <w:spacing w:after="0"/>
        <w:ind w:left="0"/>
        <w:jc w:val="both"/>
      </w:pPr>
      <w:r>
        <w:rPr>
          <w:rFonts w:ascii="Times New Roman"/>
          <w:b w:val="false"/>
          <w:i w:val="false"/>
          <w:color w:val="000000"/>
          <w:sz w:val="28"/>
        </w:rPr>
        <w:t>
      4. Настоящий совместный приказ вводится в действие по истечении шестидесяти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 Е. Карашукеев</w:t>
            </w:r>
            <w:r>
              <w:rPr>
                <w:rFonts w:ascii="Times New Roman"/>
                <w:b w:val="false"/>
                <w:i w:val="false"/>
                <w:color w:val="000000"/>
                <w:sz w:val="20"/>
              </w:rPr>
              <w:t>
</w:t>
            </w:r>
          </w:p>
        </w:tc>
      </w:tr>
    </w:tbl>
    <w:p>
      <w:pPr>
        <w:spacing w:after="0"/>
        <w:ind w:left="0"/>
        <w:jc w:val="both"/>
      </w:pPr>
      <w:bookmarkStart w:name="z16"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Комитет 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июня 2023 года № 120</w:t>
            </w:r>
            <w:r>
              <w:br/>
            </w:r>
            <w:r>
              <w:rPr>
                <w:rFonts w:ascii="Times New Roman"/>
                <w:b w:val="false"/>
                <w:i w:val="false"/>
                <w:color w:val="000000"/>
                <w:sz w:val="20"/>
              </w:rPr>
              <w:t>и 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июня 2023 года № 235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июля 2019 года № 259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июля 2019 года № 63</w:t>
            </w:r>
          </w:p>
        </w:tc>
      </w:tr>
    </w:tbl>
    <w:bookmarkStart w:name="z19" w:id="9"/>
    <w:p>
      <w:pPr>
        <w:spacing w:after="0"/>
        <w:ind w:left="0"/>
        <w:jc w:val="left"/>
      </w:pPr>
      <w:r>
        <w:rPr>
          <w:rFonts w:ascii="Times New Roman"/>
          <w:b/>
          <w:i w:val="false"/>
          <w:color w:val="000000"/>
        </w:rPr>
        <w:t xml:space="preserve"> Критерии оценки степени рисков в области регулирования рынка зерна</w:t>
      </w:r>
    </w:p>
    <w:bookmarkEnd w:id="9"/>
    <w:bookmarkStart w:name="z20" w:id="10"/>
    <w:p>
      <w:pPr>
        <w:spacing w:after="0"/>
        <w:ind w:left="0"/>
        <w:jc w:val="left"/>
      </w:pPr>
      <w:r>
        <w:rPr>
          <w:rFonts w:ascii="Times New Roman"/>
          <w:b/>
          <w:i w:val="false"/>
          <w:color w:val="000000"/>
        </w:rPr>
        <w:t xml:space="preserve"> Глава 1. Общие положения</w:t>
      </w:r>
    </w:p>
    <w:bookmarkEnd w:id="10"/>
    <w:bookmarkStart w:name="z21" w:id="11"/>
    <w:p>
      <w:pPr>
        <w:spacing w:after="0"/>
        <w:ind w:left="0"/>
        <w:jc w:val="both"/>
      </w:pPr>
      <w:r>
        <w:rPr>
          <w:rFonts w:ascii="Times New Roman"/>
          <w:b w:val="false"/>
          <w:i w:val="false"/>
          <w:color w:val="000000"/>
          <w:sz w:val="28"/>
        </w:rPr>
        <w:t xml:space="preserve">
      1. Настоящие Критерии оценки степени рисков в области регулирования рынка зерна (далее – Критерии)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141 Предпринимательского кодекса Республики Казахстан (далее – Кодекс), </w:t>
      </w:r>
      <w:r>
        <w:rPr>
          <w:rFonts w:ascii="Times New Roman"/>
          <w:b w:val="false"/>
          <w:i w:val="false"/>
          <w:color w:val="000000"/>
          <w:sz w:val="28"/>
        </w:rPr>
        <w:t>Правилами</w:t>
      </w:r>
      <w:r>
        <w:rPr>
          <w:rFonts w:ascii="Times New Roman"/>
          <w:b w:val="false"/>
          <w:i w:val="false"/>
          <w:color w:val="000000"/>
          <w:sz w:val="28"/>
        </w:rPr>
        <w:t xml:space="preserve"> формирования регулирующими государственными органами системы оценки и управления рисками, утвержденными приказом исполняющего обязанности Министра национальной экономики Республики Казахстан от 22 июня 2022 года № 48 (зарегистрирован в Реестре государственной регистрации нормативных правовых актов № 28577),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"Об утверждении формы проверочного листа" (зарегистрирован в Реестре государственной регистрации нормативных правовых актов № 17371), для отнесения субъектов контроля в области регулирования рынка зерна к степеням риска и для отбора субъектов (объектов) контроля при проведении проверок на соответствие квалификационным требованиям по выданным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лицензиям (далее – проверка на соответствие квалификационным требованиям) и профилактического контроля с посещением субъекта (объекта) контроля.</w:t>
      </w:r>
    </w:p>
    <w:bookmarkEnd w:id="11"/>
    <w:bookmarkStart w:name="z22" w:id="12"/>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12"/>
    <w:bookmarkStart w:name="z23" w:id="13"/>
    <w:p>
      <w:pPr>
        <w:spacing w:after="0"/>
        <w:ind w:left="0"/>
        <w:jc w:val="both"/>
      </w:pPr>
      <w:r>
        <w:rPr>
          <w:rFonts w:ascii="Times New Roman"/>
          <w:b w:val="false"/>
          <w:i w:val="false"/>
          <w:color w:val="000000"/>
          <w:sz w:val="28"/>
        </w:rPr>
        <w:t>
      1) субъекты контроля – юридические лица (хлебоприемные предприятия), осуществляющие деятельность, связанную с производством, хранением, транспортировкой, переработкой и реализацией зерна;</w:t>
      </w:r>
    </w:p>
    <w:bookmarkEnd w:id="13"/>
    <w:bookmarkStart w:name="z24" w:id="14"/>
    <w:p>
      <w:pPr>
        <w:spacing w:after="0"/>
        <w:ind w:left="0"/>
        <w:jc w:val="both"/>
      </w:pPr>
      <w:r>
        <w:rPr>
          <w:rFonts w:ascii="Times New Roman"/>
          <w:b w:val="false"/>
          <w:i w:val="false"/>
          <w:color w:val="000000"/>
          <w:sz w:val="28"/>
        </w:rPr>
        <w:t>
      2) балл – количественная мера исчисления риска;</w:t>
      </w:r>
    </w:p>
    <w:bookmarkEnd w:id="14"/>
    <w:bookmarkStart w:name="z25" w:id="15"/>
    <w:p>
      <w:pPr>
        <w:spacing w:after="0"/>
        <w:ind w:left="0"/>
        <w:jc w:val="both"/>
      </w:pPr>
      <w:r>
        <w:rPr>
          <w:rFonts w:ascii="Times New Roman"/>
          <w:b w:val="false"/>
          <w:i w:val="false"/>
          <w:color w:val="000000"/>
          <w:sz w:val="28"/>
        </w:rPr>
        <w:t>
      3) незначительное нарушение – нарушение требований, установленных нормативными правовыми актами в области зерна, в части неправильного ведения документации в области зернового рынка;</w:t>
      </w:r>
    </w:p>
    <w:bookmarkEnd w:id="15"/>
    <w:bookmarkStart w:name="z26" w:id="16"/>
    <w:p>
      <w:pPr>
        <w:spacing w:after="0"/>
        <w:ind w:left="0"/>
        <w:jc w:val="both"/>
      </w:pPr>
      <w:r>
        <w:rPr>
          <w:rFonts w:ascii="Times New Roman"/>
          <w:b w:val="false"/>
          <w:i w:val="false"/>
          <w:color w:val="000000"/>
          <w:sz w:val="28"/>
        </w:rPr>
        <w:t>
      4) нормализация данных – статистическая процедура, предусматривающая приведение значений, измеренных в различных шкалах, к условно общей шкале;</w:t>
      </w:r>
    </w:p>
    <w:bookmarkEnd w:id="16"/>
    <w:bookmarkStart w:name="z27" w:id="17"/>
    <w:p>
      <w:pPr>
        <w:spacing w:after="0"/>
        <w:ind w:left="0"/>
        <w:jc w:val="both"/>
      </w:pPr>
      <w:r>
        <w:rPr>
          <w:rFonts w:ascii="Times New Roman"/>
          <w:b w:val="false"/>
          <w:i w:val="false"/>
          <w:color w:val="000000"/>
          <w:sz w:val="28"/>
        </w:rPr>
        <w:t>
      5) значительное нарушение – нарушение требований, установленных нормативными правовыми актами в области зерна, в части проведения мероприятий по переводу зерна на зимние условия хранения, несоответствие технологического оборудования, не предоставление информации и документации в области зернового рынка;</w:t>
      </w:r>
    </w:p>
    <w:bookmarkEnd w:id="17"/>
    <w:bookmarkStart w:name="z28" w:id="18"/>
    <w:p>
      <w:pPr>
        <w:spacing w:after="0"/>
        <w:ind w:left="0"/>
        <w:jc w:val="both"/>
      </w:pPr>
      <w:r>
        <w:rPr>
          <w:rFonts w:ascii="Times New Roman"/>
          <w:b w:val="false"/>
          <w:i w:val="false"/>
          <w:color w:val="000000"/>
          <w:sz w:val="28"/>
        </w:rPr>
        <w:t xml:space="preserve">
      6) грубое нарушение – нарушение требований, установленных законодательством Республики Казахстан о зерне, влекущих административную ответственность, предусмотренную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в части нарушения, которое может привести к ухудшению количественно-качественной сохранности зерна, в том числе к фактам утраты и порчи зерна, несоблюдению условий хранения зерна, неисполнению хлебоприемными предприятиями обязательств по выпущенным ими зерновым распискам;</w:t>
      </w:r>
    </w:p>
    <w:bookmarkEnd w:id="18"/>
    <w:bookmarkStart w:name="z29" w:id="19"/>
    <w:p>
      <w:pPr>
        <w:spacing w:after="0"/>
        <w:ind w:left="0"/>
        <w:jc w:val="both"/>
      </w:pPr>
      <w:r>
        <w:rPr>
          <w:rFonts w:ascii="Times New Roman"/>
          <w:b w:val="false"/>
          <w:i w:val="false"/>
          <w:color w:val="000000"/>
          <w:sz w:val="28"/>
        </w:rPr>
        <w:t>
      7) риск – вероятность причинения вреда в результате деятельности субъекта контроля, законным интересам физических и юридических лиц, имущественным интересам государства с учетом степени тяжести его последствий;</w:t>
      </w:r>
    </w:p>
    <w:bookmarkEnd w:id="19"/>
    <w:bookmarkStart w:name="z30" w:id="20"/>
    <w:p>
      <w:pPr>
        <w:spacing w:after="0"/>
        <w:ind w:left="0"/>
        <w:jc w:val="both"/>
      </w:pPr>
      <w:r>
        <w:rPr>
          <w:rFonts w:ascii="Times New Roman"/>
          <w:b w:val="false"/>
          <w:i w:val="false"/>
          <w:color w:val="000000"/>
          <w:sz w:val="28"/>
        </w:rPr>
        <w:t>
      8)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и (или) проверок на соответствие квалификационным требованиям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 и (или) проверок на соответствие квалификационным требованиям;</w:t>
      </w:r>
    </w:p>
    <w:bookmarkEnd w:id="20"/>
    <w:bookmarkStart w:name="z31" w:id="21"/>
    <w:p>
      <w:pPr>
        <w:spacing w:after="0"/>
        <w:ind w:left="0"/>
        <w:jc w:val="both"/>
      </w:pPr>
      <w:r>
        <w:rPr>
          <w:rFonts w:ascii="Times New Roman"/>
          <w:b w:val="false"/>
          <w:i w:val="false"/>
          <w:color w:val="000000"/>
          <w:sz w:val="28"/>
        </w:rPr>
        <w:t>
      9)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области производства органической продукции и не зависящие непосредственно от отдельного субъекта (объекта) контроля;</w:t>
      </w:r>
    </w:p>
    <w:bookmarkEnd w:id="21"/>
    <w:bookmarkStart w:name="z32" w:id="22"/>
    <w:p>
      <w:pPr>
        <w:spacing w:after="0"/>
        <w:ind w:left="0"/>
        <w:jc w:val="both"/>
      </w:pPr>
      <w:r>
        <w:rPr>
          <w:rFonts w:ascii="Times New Roman"/>
          <w:b w:val="false"/>
          <w:i w:val="false"/>
          <w:color w:val="000000"/>
          <w:sz w:val="28"/>
        </w:rPr>
        <w:t>
      10)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особенностями отраслевого развития и факторами, влияющими на это развитие, позволяющих отнести субъекты (объекты) контроля к различным степеням риска;</w:t>
      </w:r>
    </w:p>
    <w:bookmarkEnd w:id="22"/>
    <w:bookmarkStart w:name="z33" w:id="23"/>
    <w:p>
      <w:pPr>
        <w:spacing w:after="0"/>
        <w:ind w:left="0"/>
        <w:jc w:val="both"/>
      </w:pPr>
      <w:r>
        <w:rPr>
          <w:rFonts w:ascii="Times New Roman"/>
          <w:b w:val="false"/>
          <w:i w:val="false"/>
          <w:color w:val="000000"/>
          <w:sz w:val="28"/>
        </w:rPr>
        <w:t xml:space="preserve">
      11)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 </w:t>
      </w:r>
    </w:p>
    <w:bookmarkEnd w:id="23"/>
    <w:bookmarkStart w:name="z34" w:id="24"/>
    <w:p>
      <w:pPr>
        <w:spacing w:after="0"/>
        <w:ind w:left="0"/>
        <w:jc w:val="both"/>
      </w:pPr>
      <w:r>
        <w:rPr>
          <w:rFonts w:ascii="Times New Roman"/>
          <w:b w:val="false"/>
          <w:i w:val="false"/>
          <w:color w:val="000000"/>
          <w:sz w:val="28"/>
        </w:rPr>
        <w:t>
      12) проверочный лист – перечень требований, предъявляемых к деятельности субъектов (объектов) контроля, несоблюдение которых влечет за собой угрозу законным интересам физических и юридических лиц, государства;</w:t>
      </w:r>
    </w:p>
    <w:bookmarkEnd w:id="24"/>
    <w:bookmarkStart w:name="z35" w:id="25"/>
    <w:p>
      <w:pPr>
        <w:spacing w:after="0"/>
        <w:ind w:left="0"/>
        <w:jc w:val="both"/>
      </w:pPr>
      <w:r>
        <w:rPr>
          <w:rFonts w:ascii="Times New Roman"/>
          <w:b w:val="false"/>
          <w:i w:val="false"/>
          <w:color w:val="000000"/>
          <w:sz w:val="28"/>
        </w:rPr>
        <w:t xml:space="preserve">
      13) выборочная совокупность (выборка) – перечень оцениваемых субъектов (объектов), относимых к однородной группе субъектов (объектов) контроля в конкретной сфере государственного контроля,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143 Кодекса.</w:t>
      </w:r>
    </w:p>
    <w:bookmarkEnd w:id="25"/>
    <w:bookmarkStart w:name="z36" w:id="26"/>
    <w:p>
      <w:pPr>
        <w:spacing w:after="0"/>
        <w:ind w:left="0"/>
        <w:jc w:val="left"/>
      </w:pPr>
      <w:r>
        <w:rPr>
          <w:rFonts w:ascii="Times New Roman"/>
          <w:b/>
          <w:i w:val="false"/>
          <w:color w:val="000000"/>
        </w:rPr>
        <w:t xml:space="preserve"> Глава 2. Порядок формирования системы оценки и управления рисками при проведении проверки на соответствие квалификационным требованиям и профилактического контроля субъектов (объектов) контроля</w:t>
      </w:r>
    </w:p>
    <w:bookmarkEnd w:id="26"/>
    <w:bookmarkStart w:name="z37" w:id="27"/>
    <w:p>
      <w:pPr>
        <w:spacing w:after="0"/>
        <w:ind w:left="0"/>
        <w:jc w:val="both"/>
      </w:pPr>
      <w:r>
        <w:rPr>
          <w:rFonts w:ascii="Times New Roman"/>
          <w:b w:val="false"/>
          <w:i w:val="false"/>
          <w:color w:val="000000"/>
          <w:sz w:val="28"/>
        </w:rPr>
        <w:t>
      3. Для целей управления рисками при осуществлении профилактического контроля с посещением субъекта (объекта) контроля и (или) проверки на соответствие квалификационным требованиям, критерии оценки степени риска для проведения проверки на соответствие квалификационным требованиям и профилактического контроля субъектов (объектов) контроля формируются посредством определения объективных и субъективных критериев, которые осуществляются поэтапно (мультикритериальный анализ решений).</w:t>
      </w:r>
    </w:p>
    <w:bookmarkEnd w:id="27"/>
    <w:bookmarkStart w:name="z38" w:id="28"/>
    <w:p>
      <w:pPr>
        <w:spacing w:after="0"/>
        <w:ind w:left="0"/>
        <w:jc w:val="both"/>
      </w:pPr>
      <w:r>
        <w:rPr>
          <w:rFonts w:ascii="Times New Roman"/>
          <w:b w:val="false"/>
          <w:i w:val="false"/>
          <w:color w:val="000000"/>
          <w:sz w:val="28"/>
        </w:rPr>
        <w:t>
      На первом этапе по объективным критериям субъекты (объекты) контроля относятся к высокой степени риска.</w:t>
      </w:r>
    </w:p>
    <w:bookmarkEnd w:id="28"/>
    <w:bookmarkStart w:name="z39" w:id="29"/>
    <w:p>
      <w:pPr>
        <w:spacing w:after="0"/>
        <w:ind w:left="0"/>
        <w:jc w:val="both"/>
      </w:pPr>
      <w:r>
        <w:rPr>
          <w:rFonts w:ascii="Times New Roman"/>
          <w:b w:val="false"/>
          <w:i w:val="false"/>
          <w:color w:val="000000"/>
          <w:sz w:val="28"/>
        </w:rPr>
        <w:t>
      В отношении субъектов (объектов) контроля, отнесенных к высокой степени риска, проводятся проверка на соответствие квалификационным требованиям, профилактический контроль с посещением субъекта (объекта) контроля и внеплановая проверка.</w:t>
      </w:r>
    </w:p>
    <w:bookmarkEnd w:id="29"/>
    <w:bookmarkStart w:name="z40" w:id="30"/>
    <w:p>
      <w:pPr>
        <w:spacing w:after="0"/>
        <w:ind w:left="0"/>
        <w:jc w:val="both"/>
      </w:pPr>
      <w:r>
        <w:rPr>
          <w:rFonts w:ascii="Times New Roman"/>
          <w:b w:val="false"/>
          <w:i w:val="false"/>
          <w:color w:val="000000"/>
          <w:sz w:val="28"/>
        </w:rPr>
        <w:t>
      4. На втором этапе по субъективным критериям субъекты (объекты) контроля относятся к высокой степени риска, при показателе степени риска от 71 до 100 включительно.</w:t>
      </w:r>
    </w:p>
    <w:bookmarkEnd w:id="30"/>
    <w:bookmarkStart w:name="z41" w:id="31"/>
    <w:p>
      <w:pPr>
        <w:spacing w:after="0"/>
        <w:ind w:left="0"/>
        <w:jc w:val="both"/>
      </w:pPr>
      <w:r>
        <w:rPr>
          <w:rFonts w:ascii="Times New Roman"/>
          <w:b w:val="false"/>
          <w:i w:val="false"/>
          <w:color w:val="000000"/>
          <w:sz w:val="28"/>
        </w:rPr>
        <w:t>
      5. В зависимости от возможного риска и значимости проблемы, единичности или системности нарушения, анализа принятых ранее решений по каждому источнику информации требования, предъявляемые к деятельности субъектов (объектов) контроля, соответствуют степени нарушения – грубое, значительное и незначительное.</w:t>
      </w:r>
    </w:p>
    <w:bookmarkEnd w:id="31"/>
    <w:bookmarkStart w:name="z42" w:id="32"/>
    <w:p>
      <w:pPr>
        <w:spacing w:after="0"/>
        <w:ind w:left="0"/>
        <w:jc w:val="both"/>
      </w:pPr>
      <w:r>
        <w:rPr>
          <w:rFonts w:ascii="Times New Roman"/>
          <w:b w:val="false"/>
          <w:i w:val="false"/>
          <w:color w:val="000000"/>
          <w:sz w:val="28"/>
        </w:rPr>
        <w:t>
      Степень нарушений требований в области регулирования рынка зерна определяется согласно приложению 1 к настоящим Критериям.</w:t>
      </w:r>
    </w:p>
    <w:bookmarkEnd w:id="32"/>
    <w:bookmarkStart w:name="z43" w:id="33"/>
    <w:p>
      <w:pPr>
        <w:spacing w:after="0"/>
        <w:ind w:left="0"/>
        <w:jc w:val="both"/>
      </w:pPr>
      <w:r>
        <w:rPr>
          <w:rFonts w:ascii="Times New Roman"/>
          <w:b w:val="false"/>
          <w:i w:val="false"/>
          <w:color w:val="000000"/>
          <w:sz w:val="28"/>
        </w:rPr>
        <w:t>
      Степень нарушений требований в области регулирования рынка зерна для проведения проверки на соответствие квалификационным требованиям определяется согласно приложению 2 к настоящим Критериям.</w:t>
      </w:r>
    </w:p>
    <w:bookmarkEnd w:id="33"/>
    <w:bookmarkStart w:name="z44" w:id="34"/>
    <w:p>
      <w:pPr>
        <w:spacing w:after="0"/>
        <w:ind w:left="0"/>
        <w:jc w:val="both"/>
      </w:pPr>
      <w:r>
        <w:rPr>
          <w:rFonts w:ascii="Times New Roman"/>
          <w:b w:val="false"/>
          <w:i w:val="false"/>
          <w:color w:val="000000"/>
          <w:sz w:val="28"/>
        </w:rPr>
        <w:t>
      6. Критерии оценки степени риска для проведения проверки на соответствие квалификационным требованиям и профилактического контроля субъектов (объектов) контроля формируются посредством определения объективных и субъективных критериев.</w:t>
      </w:r>
    </w:p>
    <w:bookmarkEnd w:id="34"/>
    <w:bookmarkStart w:name="z45" w:id="35"/>
    <w:p>
      <w:pPr>
        <w:spacing w:after="0"/>
        <w:ind w:left="0"/>
        <w:jc w:val="left"/>
      </w:pPr>
      <w:r>
        <w:rPr>
          <w:rFonts w:ascii="Times New Roman"/>
          <w:b/>
          <w:i w:val="false"/>
          <w:color w:val="000000"/>
        </w:rPr>
        <w:t xml:space="preserve"> Параграф 1. Объективные критерии</w:t>
      </w:r>
    </w:p>
    <w:bookmarkEnd w:id="35"/>
    <w:bookmarkStart w:name="z46" w:id="36"/>
    <w:p>
      <w:pPr>
        <w:spacing w:after="0"/>
        <w:ind w:left="0"/>
        <w:jc w:val="both"/>
      </w:pPr>
      <w:r>
        <w:rPr>
          <w:rFonts w:ascii="Times New Roman"/>
          <w:b w:val="false"/>
          <w:i w:val="false"/>
          <w:color w:val="000000"/>
          <w:sz w:val="28"/>
        </w:rPr>
        <w:t>
      7. По объективным критериям к субъектам (объектам) контроля высокой степени риска относятся юридические лица (хлебоприемные предприятия), осуществляющие деятельность, связанную с производством, хранением, транспортировкой, переработкой и реализацией зерна.</w:t>
      </w:r>
    </w:p>
    <w:bookmarkEnd w:id="36"/>
    <w:bookmarkStart w:name="z47" w:id="37"/>
    <w:p>
      <w:pPr>
        <w:spacing w:after="0"/>
        <w:ind w:left="0"/>
        <w:jc w:val="left"/>
      </w:pPr>
      <w:r>
        <w:rPr>
          <w:rFonts w:ascii="Times New Roman"/>
          <w:b/>
          <w:i w:val="false"/>
          <w:color w:val="000000"/>
        </w:rPr>
        <w:t xml:space="preserve"> Параграф 2. Субъективные критерии</w:t>
      </w:r>
    </w:p>
    <w:bookmarkEnd w:id="37"/>
    <w:bookmarkStart w:name="z48" w:id="38"/>
    <w:p>
      <w:pPr>
        <w:spacing w:after="0"/>
        <w:ind w:left="0"/>
        <w:jc w:val="both"/>
      </w:pPr>
      <w:r>
        <w:rPr>
          <w:rFonts w:ascii="Times New Roman"/>
          <w:b w:val="false"/>
          <w:i w:val="false"/>
          <w:color w:val="000000"/>
          <w:sz w:val="28"/>
        </w:rPr>
        <w:t>
      8. Определение субъективных критериев осуществляется с применением следующих этапов:</w:t>
      </w:r>
    </w:p>
    <w:bookmarkEnd w:id="38"/>
    <w:bookmarkStart w:name="z49" w:id="39"/>
    <w:p>
      <w:pPr>
        <w:spacing w:after="0"/>
        <w:ind w:left="0"/>
        <w:jc w:val="both"/>
      </w:pPr>
      <w:r>
        <w:rPr>
          <w:rFonts w:ascii="Times New Roman"/>
          <w:b w:val="false"/>
          <w:i w:val="false"/>
          <w:color w:val="000000"/>
          <w:sz w:val="28"/>
        </w:rPr>
        <w:t>
      1) формирование базы данных и сбор информации;</w:t>
      </w:r>
    </w:p>
    <w:bookmarkEnd w:id="39"/>
    <w:bookmarkStart w:name="z50" w:id="40"/>
    <w:p>
      <w:pPr>
        <w:spacing w:after="0"/>
        <w:ind w:left="0"/>
        <w:jc w:val="both"/>
      </w:pPr>
      <w:r>
        <w:rPr>
          <w:rFonts w:ascii="Times New Roman"/>
          <w:b w:val="false"/>
          <w:i w:val="false"/>
          <w:color w:val="000000"/>
          <w:sz w:val="28"/>
        </w:rPr>
        <w:t>
      2) анализ информации и оценка рисков.</w:t>
      </w:r>
    </w:p>
    <w:bookmarkEnd w:id="40"/>
    <w:bookmarkStart w:name="z51" w:id="41"/>
    <w:p>
      <w:pPr>
        <w:spacing w:after="0"/>
        <w:ind w:left="0"/>
        <w:jc w:val="both"/>
      </w:pPr>
      <w:r>
        <w:rPr>
          <w:rFonts w:ascii="Times New Roman"/>
          <w:b w:val="false"/>
          <w:i w:val="false"/>
          <w:color w:val="000000"/>
          <w:sz w:val="28"/>
        </w:rPr>
        <w:t>
      9. Формирование базы данных и сбор информации необходимы для выявления субъектов (объектов) контроля.</w:t>
      </w:r>
    </w:p>
    <w:bookmarkEnd w:id="41"/>
    <w:bookmarkStart w:name="z52" w:id="42"/>
    <w:p>
      <w:pPr>
        <w:spacing w:after="0"/>
        <w:ind w:left="0"/>
        <w:jc w:val="both"/>
      </w:pPr>
      <w:r>
        <w:rPr>
          <w:rFonts w:ascii="Times New Roman"/>
          <w:b w:val="false"/>
          <w:i w:val="false"/>
          <w:color w:val="000000"/>
          <w:sz w:val="28"/>
        </w:rPr>
        <w:t>
      Для оценки степени риска по субъективным критериям для проведения профилактического контроля с посещением субъекта (объекта) контроля используются следующие источники информации:</w:t>
      </w:r>
    </w:p>
    <w:bookmarkEnd w:id="42"/>
    <w:bookmarkStart w:name="z53" w:id="43"/>
    <w:p>
      <w:pPr>
        <w:spacing w:after="0"/>
        <w:ind w:left="0"/>
        <w:jc w:val="both"/>
      </w:pPr>
      <w:r>
        <w:rPr>
          <w:rFonts w:ascii="Times New Roman"/>
          <w:b w:val="false"/>
          <w:i w:val="false"/>
          <w:color w:val="000000"/>
          <w:sz w:val="28"/>
        </w:rPr>
        <w:t>
      1) результаты предыдущих проверок и профилактического контроля с посещением субъектов (объектов) контроля;</w:t>
      </w:r>
    </w:p>
    <w:bookmarkEnd w:id="43"/>
    <w:bookmarkStart w:name="z54" w:id="44"/>
    <w:p>
      <w:pPr>
        <w:spacing w:after="0"/>
        <w:ind w:left="0"/>
        <w:jc w:val="both"/>
      </w:pPr>
      <w:r>
        <w:rPr>
          <w:rFonts w:ascii="Times New Roman"/>
          <w:b w:val="false"/>
          <w:i w:val="false"/>
          <w:color w:val="000000"/>
          <w:sz w:val="28"/>
        </w:rPr>
        <w:t>
      2) результаты мониторинга отчетности и сведений, представляемых субъектами контроля в государственный электронный реестр держателей зерновых расписок.</w:t>
      </w:r>
    </w:p>
    <w:bookmarkEnd w:id="44"/>
    <w:bookmarkStart w:name="z55" w:id="45"/>
    <w:p>
      <w:pPr>
        <w:spacing w:after="0"/>
        <w:ind w:left="0"/>
        <w:jc w:val="both"/>
      </w:pPr>
      <w:r>
        <w:rPr>
          <w:rFonts w:ascii="Times New Roman"/>
          <w:b w:val="false"/>
          <w:i w:val="false"/>
          <w:color w:val="000000"/>
          <w:sz w:val="28"/>
        </w:rPr>
        <w:t>
      Для оценки степени риска по субъективным критериям для проведения проверки на соответствие квалификационным требованиям используются результаты предыдущих проверок в отношении субъектов (объектов) контроля.</w:t>
      </w:r>
    </w:p>
    <w:bookmarkEnd w:id="45"/>
    <w:bookmarkStart w:name="z56" w:id="46"/>
    <w:p>
      <w:pPr>
        <w:spacing w:after="0"/>
        <w:ind w:left="0"/>
        <w:jc w:val="both"/>
      </w:pPr>
      <w:r>
        <w:rPr>
          <w:rFonts w:ascii="Times New Roman"/>
          <w:b w:val="false"/>
          <w:i w:val="false"/>
          <w:color w:val="000000"/>
          <w:sz w:val="28"/>
        </w:rPr>
        <w:t>
      10. На основании имеющихся источников информации формируются данные по субъективным критериям, подлежащие анализу и оценке.</w:t>
      </w:r>
    </w:p>
    <w:bookmarkEnd w:id="46"/>
    <w:bookmarkStart w:name="z57" w:id="47"/>
    <w:p>
      <w:pPr>
        <w:spacing w:after="0"/>
        <w:ind w:left="0"/>
        <w:jc w:val="both"/>
      </w:pPr>
      <w:r>
        <w:rPr>
          <w:rFonts w:ascii="Times New Roman"/>
          <w:b w:val="false"/>
          <w:i w:val="false"/>
          <w:color w:val="000000"/>
          <w:sz w:val="28"/>
        </w:rPr>
        <w:t>
      Анализ и оценка субъективных критериев позволяет сконцентрировать проведение проверки на соответствие квалификационным требованиям и профилактического контроля субъекта (объекта) контроля в отношении субъекта (объекта) контроля с наибольшим потенциальным риском.</w:t>
      </w:r>
    </w:p>
    <w:bookmarkEnd w:id="47"/>
    <w:bookmarkStart w:name="z58" w:id="48"/>
    <w:p>
      <w:pPr>
        <w:spacing w:after="0"/>
        <w:ind w:left="0"/>
        <w:jc w:val="both"/>
      </w:pPr>
      <w:r>
        <w:rPr>
          <w:rFonts w:ascii="Times New Roman"/>
          <w:b w:val="false"/>
          <w:i w:val="false"/>
          <w:color w:val="000000"/>
          <w:sz w:val="28"/>
        </w:rPr>
        <w:t xml:space="preserve">
      При этом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178 Гражданский кодекс Республики Казахстан.</w:t>
      </w:r>
    </w:p>
    <w:bookmarkEnd w:id="48"/>
    <w:bookmarkStart w:name="z59" w:id="49"/>
    <w:p>
      <w:pPr>
        <w:spacing w:after="0"/>
        <w:ind w:left="0"/>
        <w:jc w:val="both"/>
      </w:pPr>
      <w:r>
        <w:rPr>
          <w:rFonts w:ascii="Times New Roman"/>
          <w:b w:val="false"/>
          <w:i w:val="false"/>
          <w:color w:val="000000"/>
          <w:sz w:val="28"/>
        </w:rPr>
        <w:t>
      В отношении субъектов контроля, устранивших в полном объеме выданные нарушения по итогам проведенного предыдущего профилактического контроля с посещением и (или) проверки на соответствие квалификационным требованиям, не допускается включение их при формировании графиков и списков на очередной период государственного контроля.</w:t>
      </w:r>
    </w:p>
    <w:bookmarkEnd w:id="49"/>
    <w:bookmarkStart w:name="z60" w:id="50"/>
    <w:p>
      <w:pPr>
        <w:spacing w:after="0"/>
        <w:ind w:left="0"/>
        <w:jc w:val="both"/>
      </w:pPr>
      <w:r>
        <w:rPr>
          <w:rFonts w:ascii="Times New Roman"/>
          <w:b w:val="false"/>
          <w:i w:val="false"/>
          <w:color w:val="000000"/>
          <w:sz w:val="28"/>
        </w:rPr>
        <w:t>
      11. Исходя из приоритетности применяемых источников информации и значимости показателей субъективных критериев, в соответствии с порядком расчета показателя степени риска по субъективным критериям, определенным в главе 3 настоящих Критериев, рассчитывается показатель степени риска по субъективным критериям по шкале от 0 до 100 баллов.</w:t>
      </w:r>
    </w:p>
    <w:bookmarkEnd w:id="50"/>
    <w:bookmarkStart w:name="z61" w:id="51"/>
    <w:p>
      <w:pPr>
        <w:spacing w:after="0"/>
        <w:ind w:left="0"/>
        <w:jc w:val="both"/>
      </w:pPr>
      <w:r>
        <w:rPr>
          <w:rFonts w:ascii="Times New Roman"/>
          <w:b w:val="false"/>
          <w:i w:val="false"/>
          <w:color w:val="000000"/>
          <w:sz w:val="28"/>
        </w:rPr>
        <w:t>
      Приоритетность применяемых источников информации и значимость показателей субъективных критериев устанавливаются согласно перечню субъективных критериев для определения степени риска по субъективным критериям в области регулирования рынка зерна согласно приложению 3 к настоящим Критериям.</w:t>
      </w:r>
    </w:p>
    <w:bookmarkEnd w:id="51"/>
    <w:bookmarkStart w:name="z62" w:id="52"/>
    <w:p>
      <w:pPr>
        <w:spacing w:after="0"/>
        <w:ind w:left="0"/>
        <w:jc w:val="left"/>
      </w:pPr>
      <w:r>
        <w:rPr>
          <w:rFonts w:ascii="Times New Roman"/>
          <w:b/>
          <w:i w:val="false"/>
          <w:color w:val="000000"/>
        </w:rPr>
        <w:t xml:space="preserve"> Параграф 3. Управление рисками</w:t>
      </w:r>
    </w:p>
    <w:bookmarkEnd w:id="52"/>
    <w:bookmarkStart w:name="z63" w:id="53"/>
    <w:p>
      <w:pPr>
        <w:spacing w:after="0"/>
        <w:ind w:left="0"/>
        <w:jc w:val="both"/>
      </w:pPr>
      <w:r>
        <w:rPr>
          <w:rFonts w:ascii="Times New Roman"/>
          <w:b w:val="false"/>
          <w:i w:val="false"/>
          <w:color w:val="000000"/>
          <w:sz w:val="28"/>
        </w:rPr>
        <w:t>
      12. В целях реализации принципа поощрения добросовестных субъектов контроля и концентрации контроля на нарушителях субъекты (объекты) контроля освобождаются от проведения профилактического контроля с посещением субъекта (объекта) контроля и (или) проверки на соответствие квалификационным требованиям на период, определяемый пунктами 19 и 20 настоящих Критериев, посредством применения субъективных критериев.</w:t>
      </w:r>
    </w:p>
    <w:bookmarkEnd w:id="53"/>
    <w:bookmarkStart w:name="z64" w:id="54"/>
    <w:p>
      <w:pPr>
        <w:spacing w:after="0"/>
        <w:ind w:left="0"/>
        <w:jc w:val="both"/>
      </w:pPr>
      <w:r>
        <w:rPr>
          <w:rFonts w:ascii="Times New Roman"/>
          <w:b w:val="false"/>
          <w:i w:val="false"/>
          <w:color w:val="000000"/>
          <w:sz w:val="28"/>
        </w:rPr>
        <w:t>
      13. Система оценки и управления рисками ведется с использованием информационных систем, относящих субъекты (объекты) контроля к конкретным степеням риска и формирующих графики или списки проведения контрольных мероприятий, а также основывается на государственной статистике, итогах ведомственного статистического наблюдения, а также информационных инструментах.</w:t>
      </w:r>
    </w:p>
    <w:bookmarkEnd w:id="54"/>
    <w:bookmarkStart w:name="z65" w:id="55"/>
    <w:p>
      <w:pPr>
        <w:spacing w:after="0"/>
        <w:ind w:left="0"/>
        <w:jc w:val="both"/>
      </w:pPr>
      <w:r>
        <w:rPr>
          <w:rFonts w:ascii="Times New Roman"/>
          <w:b w:val="false"/>
          <w:i w:val="false"/>
          <w:color w:val="000000"/>
          <w:sz w:val="28"/>
        </w:rPr>
        <w:t>
      При отсутствии информационной системы оценки и управления рисками минимально допустимый порог количества субъектов (объектов) контроля, в отношении которых осуществляются профилактический контроль с посещением субъекта (объекта) контроля и (или) проверка на соответствие квалификационным требованиям, не должен превышать пяти процентов от общего количества таких субъектов контроля в области регулирования рынка зерна.</w:t>
      </w:r>
    </w:p>
    <w:bookmarkEnd w:id="55"/>
    <w:bookmarkStart w:name="z66" w:id="56"/>
    <w:p>
      <w:pPr>
        <w:spacing w:after="0"/>
        <w:ind w:left="0"/>
        <w:jc w:val="left"/>
      </w:pPr>
      <w:r>
        <w:rPr>
          <w:rFonts w:ascii="Times New Roman"/>
          <w:b/>
          <w:i w:val="false"/>
          <w:color w:val="000000"/>
        </w:rPr>
        <w:t xml:space="preserve"> Глава 3. Порядок расчета общего показателя степени риска по субъективным критериям</w:t>
      </w:r>
    </w:p>
    <w:bookmarkEnd w:id="56"/>
    <w:bookmarkStart w:name="z67" w:id="57"/>
    <w:p>
      <w:pPr>
        <w:spacing w:after="0"/>
        <w:ind w:left="0"/>
        <w:jc w:val="both"/>
      </w:pPr>
      <w:r>
        <w:rPr>
          <w:rFonts w:ascii="Times New Roman"/>
          <w:b w:val="false"/>
          <w:i w:val="false"/>
          <w:color w:val="000000"/>
          <w:sz w:val="28"/>
        </w:rPr>
        <w:t>
      14. Для отнесения субъекта контроля к степени риска в соответствии с пунктами 3 и 4 настоящих Критерий применяется следующий порядок расчета показателя степени риска.</w:t>
      </w:r>
    </w:p>
    <w:bookmarkEnd w:id="57"/>
    <w:bookmarkStart w:name="z68" w:id="58"/>
    <w:p>
      <w:pPr>
        <w:spacing w:after="0"/>
        <w:ind w:left="0"/>
        <w:jc w:val="both"/>
      </w:pPr>
      <w:r>
        <w:rPr>
          <w:rFonts w:ascii="Times New Roman"/>
          <w:b w:val="false"/>
          <w:i w:val="false"/>
          <w:color w:val="000000"/>
          <w:sz w:val="28"/>
        </w:rPr>
        <w:t>
      Государственный орган собирает информацию и формирует базу данных по субъективным критериям из источников согласно пункту 9 настоящих Критериев.</w:t>
      </w:r>
    </w:p>
    <w:bookmarkEnd w:id="58"/>
    <w:bookmarkStart w:name="z69" w:id="59"/>
    <w:p>
      <w:pPr>
        <w:spacing w:after="0"/>
        <w:ind w:left="0"/>
        <w:jc w:val="both"/>
      </w:pPr>
      <w:r>
        <w:rPr>
          <w:rFonts w:ascii="Times New Roman"/>
          <w:b w:val="false"/>
          <w:i w:val="false"/>
          <w:color w:val="000000"/>
          <w:sz w:val="28"/>
        </w:rPr>
        <w:t>
      15.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(SP) и показателя степени риска по субъективным критериям, определенным в соответствии с пунктом 11 настоящих Критериев (SC), с последующей нормализацией значений данных в диапазон от 0 до 100 баллов.</w:t>
      </w:r>
    </w:p>
    <w:bookmarkEnd w:id="59"/>
    <w:bookmarkStart w:name="z70" w:id="60"/>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w:t>
      </w:r>
    </w:p>
    <w:bookmarkEnd w:id="60"/>
    <w:bookmarkStart w:name="z71" w:id="61"/>
    <w:p>
      <w:pPr>
        <w:spacing w:after="0"/>
        <w:ind w:left="0"/>
        <w:jc w:val="both"/>
      </w:pPr>
      <w:r>
        <w:rPr>
          <w:rFonts w:ascii="Times New Roman"/>
          <w:b w:val="false"/>
          <w:i w:val="false"/>
          <w:color w:val="000000"/>
          <w:sz w:val="28"/>
        </w:rPr>
        <w:t>
      где:</w:t>
      </w:r>
    </w:p>
    <w:bookmarkEnd w:id="61"/>
    <w:bookmarkStart w:name="z72" w:id="62"/>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62"/>
    <w:bookmarkStart w:name="z73" w:id="63"/>
    <w:p>
      <w:pPr>
        <w:spacing w:after="0"/>
        <w:ind w:left="0"/>
        <w:jc w:val="both"/>
      </w:pPr>
      <w:r>
        <w:rPr>
          <w:rFonts w:ascii="Times New Roman"/>
          <w:b w:val="false"/>
          <w:i w:val="false"/>
          <w:color w:val="000000"/>
          <w:sz w:val="28"/>
        </w:rPr>
        <w:t>
      SР – показатель степени риска по нарушениям;</w:t>
      </w:r>
    </w:p>
    <w:bookmarkEnd w:id="63"/>
    <w:bookmarkStart w:name="z74" w:id="64"/>
    <w:p>
      <w:pPr>
        <w:spacing w:after="0"/>
        <w:ind w:left="0"/>
        <w:jc w:val="both"/>
      </w:pPr>
      <w:r>
        <w:rPr>
          <w:rFonts w:ascii="Times New Roman"/>
          <w:b w:val="false"/>
          <w:i w:val="false"/>
          <w:color w:val="000000"/>
          <w:sz w:val="28"/>
        </w:rPr>
        <w:t>
      SC – показатель степени риска по субъективным критериям, определенным в соответствии с пунктом 11 настоящих Критериев.</w:t>
      </w:r>
    </w:p>
    <w:bookmarkEnd w:id="64"/>
    <w:bookmarkStart w:name="z75" w:id="65"/>
    <w:p>
      <w:pPr>
        <w:spacing w:after="0"/>
        <w:ind w:left="0"/>
        <w:jc w:val="both"/>
      </w:pPr>
      <w:r>
        <w:rPr>
          <w:rFonts w:ascii="Times New Roman"/>
          <w:b w:val="false"/>
          <w:i w:val="false"/>
          <w:color w:val="000000"/>
          <w:sz w:val="28"/>
        </w:rPr>
        <w:t>
      Расчет производится по каждому субъекту (объекту) контроля однородной группы субъектов (объектов) контроля в области регулирования рынка зерна. При этом перечень оцениваемых субъектов (объектов) контроля, относимых к однородной группе субъектов (объектов) контроля одной сферы государственного контроля, образует выборочную совокупность (выборку) для последующей нормализации данных.</w:t>
      </w:r>
    </w:p>
    <w:bookmarkEnd w:id="65"/>
    <w:bookmarkStart w:name="z76" w:id="66"/>
    <w:p>
      <w:pPr>
        <w:spacing w:after="0"/>
        <w:ind w:left="0"/>
        <w:jc w:val="both"/>
      </w:pPr>
      <w:r>
        <w:rPr>
          <w:rFonts w:ascii="Times New Roman"/>
          <w:b w:val="false"/>
          <w:i w:val="false"/>
          <w:color w:val="000000"/>
          <w:sz w:val="28"/>
        </w:rPr>
        <w:t>
      16. По данным, полученным по результатам предыдущих проверок и профилактического контроля с посещением субъектов (объектов) контроля, формируется показатель степени риска по нарушениям, оцениваемый в баллах от 0 до 100.</w:t>
      </w:r>
    </w:p>
    <w:bookmarkEnd w:id="66"/>
    <w:bookmarkStart w:name="z77" w:id="67"/>
    <w:p>
      <w:pPr>
        <w:spacing w:after="0"/>
        <w:ind w:left="0"/>
        <w:jc w:val="both"/>
      </w:pPr>
      <w:r>
        <w:rPr>
          <w:rFonts w:ascii="Times New Roman"/>
          <w:b w:val="false"/>
          <w:i w:val="false"/>
          <w:color w:val="000000"/>
          <w:sz w:val="28"/>
        </w:rPr>
        <w:t>
      При выявлении одного грубого нарушения по любому из источников информации, указанных в пункте 9 настоящих Критериев, субъекту контроля приравнивается показатель степени риска 100 баллов и в отношении него проводится проверка на соответствие квалификационным требованиям или профилактический контроль с посещением субъекта (объекта) контроля.</w:t>
      </w:r>
    </w:p>
    <w:bookmarkEnd w:id="67"/>
    <w:bookmarkStart w:name="z78" w:id="68"/>
    <w:p>
      <w:pPr>
        <w:spacing w:after="0"/>
        <w:ind w:left="0"/>
        <w:jc w:val="both"/>
      </w:pPr>
      <w:r>
        <w:rPr>
          <w:rFonts w:ascii="Times New Roman"/>
          <w:b w:val="false"/>
          <w:i w:val="false"/>
          <w:color w:val="000000"/>
          <w:sz w:val="28"/>
        </w:rPr>
        <w:t>
      При невыявлении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w:t>
      </w:r>
    </w:p>
    <w:bookmarkEnd w:id="68"/>
    <w:bookmarkStart w:name="z79" w:id="69"/>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69"/>
    <w:bookmarkStart w:name="z80" w:id="70"/>
    <w:p>
      <w:pPr>
        <w:spacing w:after="0"/>
        <w:ind w:left="0"/>
        <w:jc w:val="both"/>
      </w:pPr>
      <w:r>
        <w:rPr>
          <w:rFonts w:ascii="Times New Roman"/>
          <w:b w:val="false"/>
          <w:i w:val="false"/>
          <w:color w:val="000000"/>
          <w:sz w:val="28"/>
        </w:rPr>
        <w:t>
      SPз = (SP</w:t>
      </w:r>
      <w:r>
        <w:rPr>
          <w:rFonts w:ascii="Times New Roman"/>
          <w:b w:val="false"/>
          <w:i w:val="false"/>
          <w:color w:val="000000"/>
          <w:vertAlign w:val="subscript"/>
        </w:rPr>
        <w:t>2</w:t>
      </w:r>
      <w:r>
        <w:rPr>
          <w:rFonts w:ascii="Times New Roman"/>
          <w:b w:val="false"/>
          <w:i w:val="false"/>
          <w:color w:val="000000"/>
          <w:sz w:val="28"/>
        </w:rPr>
        <w:t xml:space="preserve"> х 100/SP</w:t>
      </w:r>
      <w:r>
        <w:rPr>
          <w:rFonts w:ascii="Times New Roman"/>
          <w:b w:val="false"/>
          <w:i w:val="false"/>
          <w:color w:val="000000"/>
          <w:vertAlign w:val="subscript"/>
        </w:rPr>
        <w:t>1</w:t>
      </w:r>
      <w:r>
        <w:rPr>
          <w:rFonts w:ascii="Times New Roman"/>
          <w:b w:val="false"/>
          <w:i w:val="false"/>
          <w:color w:val="000000"/>
          <w:sz w:val="28"/>
        </w:rPr>
        <w:t>) х 0,7,</w:t>
      </w:r>
    </w:p>
    <w:bookmarkEnd w:id="70"/>
    <w:bookmarkStart w:name="z81" w:id="71"/>
    <w:p>
      <w:pPr>
        <w:spacing w:after="0"/>
        <w:ind w:left="0"/>
        <w:jc w:val="both"/>
      </w:pPr>
      <w:r>
        <w:rPr>
          <w:rFonts w:ascii="Times New Roman"/>
          <w:b w:val="false"/>
          <w:i w:val="false"/>
          <w:color w:val="000000"/>
          <w:sz w:val="28"/>
        </w:rPr>
        <w:t>
      где:</w:t>
      </w:r>
    </w:p>
    <w:bookmarkEnd w:id="71"/>
    <w:bookmarkStart w:name="z82" w:id="72"/>
    <w:p>
      <w:pPr>
        <w:spacing w:after="0"/>
        <w:ind w:left="0"/>
        <w:jc w:val="both"/>
      </w:pPr>
      <w:r>
        <w:rPr>
          <w:rFonts w:ascii="Times New Roman"/>
          <w:b w:val="false"/>
          <w:i w:val="false"/>
          <w:color w:val="000000"/>
          <w:sz w:val="28"/>
        </w:rPr>
        <w:t>
      SP3 – показатель значительных нарушений;</w:t>
      </w:r>
    </w:p>
    <w:bookmarkEnd w:id="72"/>
    <w:bookmarkStart w:name="z83" w:id="73"/>
    <w:p>
      <w:pPr>
        <w:spacing w:after="0"/>
        <w:ind w:left="0"/>
        <w:jc w:val="both"/>
      </w:pPr>
      <w:r>
        <w:rPr>
          <w:rFonts w:ascii="Times New Roman"/>
          <w:b w:val="false"/>
          <w:i w:val="false"/>
          <w:color w:val="000000"/>
          <w:sz w:val="28"/>
        </w:rPr>
        <w:t>
      SP</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значительных нарушений;</w:t>
      </w:r>
    </w:p>
    <w:bookmarkEnd w:id="73"/>
    <w:bookmarkStart w:name="z84" w:id="74"/>
    <w:p>
      <w:pPr>
        <w:spacing w:after="0"/>
        <w:ind w:left="0"/>
        <w:jc w:val="both"/>
      </w:pPr>
      <w:r>
        <w:rPr>
          <w:rFonts w:ascii="Times New Roman"/>
          <w:b w:val="false"/>
          <w:i w:val="false"/>
          <w:color w:val="000000"/>
          <w:sz w:val="28"/>
        </w:rPr>
        <w:t>
      SP</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значительных нарушений.</w:t>
      </w:r>
    </w:p>
    <w:bookmarkEnd w:id="74"/>
    <w:bookmarkStart w:name="z85" w:id="75"/>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75"/>
    <w:bookmarkStart w:name="z86" w:id="76"/>
    <w:p>
      <w:pPr>
        <w:spacing w:after="0"/>
        <w:ind w:left="0"/>
        <w:jc w:val="both"/>
      </w:pPr>
      <w:r>
        <w:rPr>
          <w:rFonts w:ascii="Times New Roman"/>
          <w:b w:val="false"/>
          <w:i w:val="false"/>
          <w:color w:val="000000"/>
          <w:sz w:val="28"/>
        </w:rPr>
        <w:t>
      SРн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w:t>
      </w:r>
    </w:p>
    <w:bookmarkEnd w:id="76"/>
    <w:bookmarkStart w:name="z87" w:id="77"/>
    <w:p>
      <w:pPr>
        <w:spacing w:after="0"/>
        <w:ind w:left="0"/>
        <w:jc w:val="both"/>
      </w:pPr>
      <w:r>
        <w:rPr>
          <w:rFonts w:ascii="Times New Roman"/>
          <w:b w:val="false"/>
          <w:i w:val="false"/>
          <w:color w:val="000000"/>
          <w:sz w:val="28"/>
        </w:rPr>
        <w:t>
      где:</w:t>
      </w:r>
    </w:p>
    <w:bookmarkEnd w:id="77"/>
    <w:bookmarkStart w:name="z88" w:id="78"/>
    <w:p>
      <w:pPr>
        <w:spacing w:after="0"/>
        <w:ind w:left="0"/>
        <w:jc w:val="both"/>
      </w:pPr>
      <w:r>
        <w:rPr>
          <w:rFonts w:ascii="Times New Roman"/>
          <w:b w:val="false"/>
          <w:i w:val="false"/>
          <w:color w:val="000000"/>
          <w:sz w:val="28"/>
        </w:rPr>
        <w:t>
      SРн – показатель незначительных нарушений;</w:t>
      </w:r>
    </w:p>
    <w:bookmarkEnd w:id="78"/>
    <w:bookmarkStart w:name="z89" w:id="79"/>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незначительных нарушений;</w:t>
      </w:r>
    </w:p>
    <w:bookmarkEnd w:id="79"/>
    <w:bookmarkStart w:name="z90" w:id="80"/>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незначительных нарушений.</w:t>
      </w:r>
    </w:p>
    <w:bookmarkEnd w:id="80"/>
    <w:bookmarkStart w:name="z91" w:id="81"/>
    <w:p>
      <w:pPr>
        <w:spacing w:after="0"/>
        <w:ind w:left="0"/>
        <w:jc w:val="both"/>
      </w:pPr>
      <w:r>
        <w:rPr>
          <w:rFonts w:ascii="Times New Roman"/>
          <w:b w:val="false"/>
          <w:i w:val="false"/>
          <w:color w:val="000000"/>
          <w:sz w:val="28"/>
        </w:rPr>
        <w:t>
      Показатель степени риска (SР) рассчитывается по шкале от 0 до 100 баллов и определяется путем суммирования показателей значительных и незначительных нарушений по следующей формуле:</w:t>
      </w:r>
    </w:p>
    <w:bookmarkEnd w:id="81"/>
    <w:bookmarkStart w:name="z92" w:id="82"/>
    <w:p>
      <w:pPr>
        <w:spacing w:after="0"/>
        <w:ind w:left="0"/>
        <w:jc w:val="both"/>
      </w:pPr>
      <w:r>
        <w:rPr>
          <w:rFonts w:ascii="Times New Roman"/>
          <w:b w:val="false"/>
          <w:i w:val="false"/>
          <w:color w:val="000000"/>
          <w:sz w:val="28"/>
        </w:rPr>
        <w:t>
      SР = SРз + SРн,</w:t>
      </w:r>
    </w:p>
    <w:bookmarkEnd w:id="82"/>
    <w:bookmarkStart w:name="z93" w:id="83"/>
    <w:p>
      <w:pPr>
        <w:spacing w:after="0"/>
        <w:ind w:left="0"/>
        <w:jc w:val="both"/>
      </w:pPr>
      <w:r>
        <w:rPr>
          <w:rFonts w:ascii="Times New Roman"/>
          <w:b w:val="false"/>
          <w:i w:val="false"/>
          <w:color w:val="000000"/>
          <w:sz w:val="28"/>
        </w:rPr>
        <w:t>
      где:</w:t>
      </w:r>
    </w:p>
    <w:bookmarkEnd w:id="83"/>
    <w:bookmarkStart w:name="z94" w:id="84"/>
    <w:p>
      <w:pPr>
        <w:spacing w:after="0"/>
        <w:ind w:left="0"/>
        <w:jc w:val="both"/>
      </w:pPr>
      <w:r>
        <w:rPr>
          <w:rFonts w:ascii="Times New Roman"/>
          <w:b w:val="false"/>
          <w:i w:val="false"/>
          <w:color w:val="000000"/>
          <w:sz w:val="28"/>
        </w:rPr>
        <w:t>
      SР – общий показатель степени риска;</w:t>
      </w:r>
    </w:p>
    <w:bookmarkEnd w:id="84"/>
    <w:bookmarkStart w:name="z95" w:id="85"/>
    <w:p>
      <w:pPr>
        <w:spacing w:after="0"/>
        <w:ind w:left="0"/>
        <w:jc w:val="both"/>
      </w:pPr>
      <w:r>
        <w:rPr>
          <w:rFonts w:ascii="Times New Roman"/>
          <w:b w:val="false"/>
          <w:i w:val="false"/>
          <w:color w:val="000000"/>
          <w:sz w:val="28"/>
        </w:rPr>
        <w:t>
      SРз – показатель значительных нарушений;</w:t>
      </w:r>
    </w:p>
    <w:bookmarkEnd w:id="85"/>
    <w:bookmarkStart w:name="z96" w:id="86"/>
    <w:p>
      <w:pPr>
        <w:spacing w:after="0"/>
        <w:ind w:left="0"/>
        <w:jc w:val="both"/>
      </w:pPr>
      <w:r>
        <w:rPr>
          <w:rFonts w:ascii="Times New Roman"/>
          <w:b w:val="false"/>
          <w:i w:val="false"/>
          <w:color w:val="000000"/>
          <w:sz w:val="28"/>
        </w:rPr>
        <w:t>
      SРн – показатель незначительных нарушений.</w:t>
      </w:r>
    </w:p>
    <w:bookmarkEnd w:id="86"/>
    <w:bookmarkStart w:name="z97" w:id="87"/>
    <w:p>
      <w:pPr>
        <w:spacing w:after="0"/>
        <w:ind w:left="0"/>
        <w:jc w:val="both"/>
      </w:pPr>
      <w:r>
        <w:rPr>
          <w:rFonts w:ascii="Times New Roman"/>
          <w:b w:val="false"/>
          <w:i w:val="false"/>
          <w:color w:val="000000"/>
          <w:sz w:val="28"/>
        </w:rPr>
        <w:t>
      Полученное значение общего показателя степени риска по нарушениям включается в расчет показателя степени риска по субъективным критериям.</w:t>
      </w:r>
    </w:p>
    <w:bookmarkEnd w:id="87"/>
    <w:bookmarkStart w:name="z98" w:id="88"/>
    <w:p>
      <w:pPr>
        <w:spacing w:after="0"/>
        <w:ind w:left="0"/>
        <w:jc w:val="both"/>
      </w:pPr>
      <w:r>
        <w:rPr>
          <w:rFonts w:ascii="Times New Roman"/>
          <w:b w:val="false"/>
          <w:i w:val="false"/>
          <w:color w:val="000000"/>
          <w:sz w:val="28"/>
        </w:rPr>
        <w:t>
      17. Расчет показателя степени риска по субъективным критериям, определенным в соответствии с пунктом 11 настоящих Критериев, производится по шкале от 0 до 100 баллов и осуществляется по следующей формуле:</w:t>
      </w:r>
    </w:p>
    <w:bookmarkEnd w:id="8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89"/>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показатель субъективного критерия;</w:t>
      </w:r>
    </w:p>
    <w:bookmarkEnd w:id="89"/>
    <w:bookmarkStart w:name="z101" w:id="90"/>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удельный вес показателя субъективного критерия xi;</w:t>
      </w:r>
    </w:p>
    <w:bookmarkEnd w:id="90"/>
    <w:bookmarkStart w:name="z102" w:id="91"/>
    <w:p>
      <w:pPr>
        <w:spacing w:after="0"/>
        <w:ind w:left="0"/>
        <w:jc w:val="both"/>
      </w:pPr>
      <w:r>
        <w:rPr>
          <w:rFonts w:ascii="Times New Roman"/>
          <w:b w:val="false"/>
          <w:i w:val="false"/>
          <w:color w:val="000000"/>
          <w:sz w:val="28"/>
        </w:rPr>
        <w:t>
      n – количество показателей.</w:t>
      </w:r>
    </w:p>
    <w:bookmarkEnd w:id="91"/>
    <w:bookmarkStart w:name="z103" w:id="92"/>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определенным в соответствии с пунктом 11 настоящих Критериев, включается в расчет показателя степени риска по субъективным критериям.</w:t>
      </w:r>
    </w:p>
    <w:bookmarkEnd w:id="92"/>
    <w:bookmarkStart w:name="z104" w:id="93"/>
    <w:p>
      <w:pPr>
        <w:spacing w:after="0"/>
        <w:ind w:left="0"/>
        <w:jc w:val="both"/>
      </w:pPr>
      <w:r>
        <w:rPr>
          <w:rFonts w:ascii="Times New Roman"/>
          <w:b w:val="false"/>
          <w:i w:val="false"/>
          <w:color w:val="000000"/>
          <w:sz w:val="28"/>
        </w:rPr>
        <w:t>
      18. Рассчитанные по субъектам (объектам) значения по показателю R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9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94"/>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w:t>
      </w:r>
    </w:p>
    <w:bookmarkEnd w:id="94"/>
    <w:bookmarkStart w:name="z107" w:id="95"/>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bookmarkEnd w:id="95"/>
    <w:bookmarkStart w:name="z108" w:id="96"/>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bookmarkEnd w:id="96"/>
    <w:bookmarkStart w:name="z109" w:id="97"/>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 рассчитанный в соответствии с пунктом 15 настоящих Критериев.</w:t>
      </w:r>
    </w:p>
    <w:bookmarkEnd w:id="97"/>
    <w:bookmarkStart w:name="z110" w:id="98"/>
    <w:p>
      <w:pPr>
        <w:spacing w:after="0"/>
        <w:ind w:left="0"/>
        <w:jc w:val="both"/>
      </w:pPr>
      <w:r>
        <w:rPr>
          <w:rFonts w:ascii="Times New Roman"/>
          <w:b w:val="false"/>
          <w:i w:val="false"/>
          <w:color w:val="000000"/>
          <w:sz w:val="28"/>
        </w:rPr>
        <w:t>
      19. Кратность проведения проверок на соответствие квалификационным требованиям в отношении субъектов (объектов) контроля высокой степени риска определяется не чаще одного раза в год.</w:t>
      </w:r>
    </w:p>
    <w:bookmarkEnd w:id="98"/>
    <w:bookmarkStart w:name="z111" w:id="99"/>
    <w:p>
      <w:pPr>
        <w:spacing w:after="0"/>
        <w:ind w:left="0"/>
        <w:jc w:val="both"/>
      </w:pPr>
      <w:r>
        <w:rPr>
          <w:rFonts w:ascii="Times New Roman"/>
          <w:b w:val="false"/>
          <w:i w:val="false"/>
          <w:color w:val="000000"/>
          <w:sz w:val="28"/>
        </w:rPr>
        <w:t>
      20. Кратность проведения профилактического контроля с посещением субъекта контроля определяется по результатам проводимого анализа и оценки получаемых сведений по субъективным критериям, но не чаще двух раз в год.</w:t>
      </w:r>
    </w:p>
    <w:bookmarkEnd w:id="99"/>
    <w:bookmarkStart w:name="z112" w:id="100"/>
    <w:p>
      <w:pPr>
        <w:spacing w:after="0"/>
        <w:ind w:left="0"/>
        <w:jc w:val="both"/>
      </w:pPr>
      <w:r>
        <w:rPr>
          <w:rFonts w:ascii="Times New Roman"/>
          <w:b w:val="false"/>
          <w:i w:val="false"/>
          <w:color w:val="000000"/>
          <w:sz w:val="28"/>
        </w:rPr>
        <w:t xml:space="preserve">
      21. Проверка на соответствие квалификационным требованиям проводится на основании графика проверок на соответствие квалификационным требованиям, утверждаемого регулирующим государственным органом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144 Кодекса.</w:t>
      </w:r>
    </w:p>
    <w:bookmarkEnd w:id="100"/>
    <w:bookmarkStart w:name="z113" w:id="101"/>
    <w:p>
      <w:pPr>
        <w:spacing w:after="0"/>
        <w:ind w:left="0"/>
        <w:jc w:val="both"/>
      </w:pPr>
      <w:r>
        <w:rPr>
          <w:rFonts w:ascii="Times New Roman"/>
          <w:b w:val="false"/>
          <w:i w:val="false"/>
          <w:color w:val="000000"/>
          <w:sz w:val="28"/>
        </w:rPr>
        <w:t xml:space="preserve">
      Профилактический контроль с посещением субъекта (объекта) контроля проводится на основании полугодовых списков проведения профилактического контроля с посещением субъекта (объекта) контроля, формируемых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144-2 Кодекса.</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рисков в области</w:t>
            </w:r>
            <w:r>
              <w:br/>
            </w:r>
            <w:r>
              <w:rPr>
                <w:rFonts w:ascii="Times New Roman"/>
                <w:b w:val="false"/>
                <w:i w:val="false"/>
                <w:color w:val="000000"/>
                <w:sz w:val="20"/>
              </w:rPr>
              <w:t>регулирования рынка зерна</w:t>
            </w:r>
          </w:p>
        </w:tc>
      </w:tr>
    </w:tbl>
    <w:bookmarkStart w:name="z115" w:id="102"/>
    <w:p>
      <w:pPr>
        <w:spacing w:after="0"/>
        <w:ind w:left="0"/>
        <w:jc w:val="left"/>
      </w:pPr>
      <w:r>
        <w:rPr>
          <w:rFonts w:ascii="Times New Roman"/>
          <w:b/>
          <w:i w:val="false"/>
          <w:color w:val="000000"/>
        </w:rPr>
        <w:t xml:space="preserve"> Степень нарушений требований в области регулирования рынка зерна</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зерна в соответствии с данными государственного электронного реестра держателей зерновых расписок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зерна, поступающего на хлебоприемные предприятия:</w:t>
            </w:r>
          </w:p>
          <w:p>
            <w:pPr>
              <w:spacing w:after="20"/>
              <w:ind w:left="20"/>
              <w:jc w:val="both"/>
            </w:pPr>
            <w:r>
              <w:rPr>
                <w:rFonts w:ascii="Times New Roman"/>
                <w:b w:val="false"/>
                <w:i w:val="false"/>
                <w:color w:val="000000"/>
                <w:sz w:val="20"/>
              </w:rPr>
              <w:t>
1) наличие журнала регистрации взвешивания грузов на автомобильных весах;</w:t>
            </w:r>
          </w:p>
          <w:p>
            <w:pPr>
              <w:spacing w:after="20"/>
              <w:ind w:left="20"/>
              <w:jc w:val="both"/>
            </w:pPr>
            <w:r>
              <w:rPr>
                <w:rFonts w:ascii="Times New Roman"/>
                <w:b w:val="false"/>
                <w:i w:val="false"/>
                <w:color w:val="000000"/>
                <w:sz w:val="20"/>
              </w:rPr>
              <w:t>
2) наличие журнала регистрации взвешивания грузов на вагонных весах;</w:t>
            </w:r>
          </w:p>
          <w:p>
            <w:pPr>
              <w:spacing w:after="20"/>
              <w:ind w:left="20"/>
              <w:jc w:val="both"/>
            </w:pPr>
            <w:r>
              <w:rPr>
                <w:rFonts w:ascii="Times New Roman"/>
                <w:b w:val="false"/>
                <w:i w:val="false"/>
                <w:color w:val="000000"/>
                <w:sz w:val="20"/>
              </w:rPr>
              <w:t>
3) наличие журнала регистрации результатов лабораторных анализов;</w:t>
            </w:r>
          </w:p>
          <w:p>
            <w:pPr>
              <w:spacing w:after="20"/>
              <w:ind w:left="20"/>
              <w:jc w:val="both"/>
            </w:pPr>
            <w:r>
              <w:rPr>
                <w:rFonts w:ascii="Times New Roman"/>
                <w:b w:val="false"/>
                <w:i w:val="false"/>
                <w:color w:val="000000"/>
                <w:sz w:val="20"/>
              </w:rPr>
              <w:t>
4) наличие реестра накладных на принятое автомобильным транспортом зерно с определением качества по среднесуточной пробе;</w:t>
            </w:r>
          </w:p>
          <w:p>
            <w:pPr>
              <w:spacing w:after="20"/>
              <w:ind w:left="20"/>
              <w:jc w:val="both"/>
            </w:pPr>
            <w:r>
              <w:rPr>
                <w:rFonts w:ascii="Times New Roman"/>
                <w:b w:val="false"/>
                <w:i w:val="false"/>
                <w:color w:val="000000"/>
                <w:sz w:val="20"/>
              </w:rPr>
              <w:t>
5) наличие реестра накладных на принятое железнодорожным транспортом зерно;</w:t>
            </w:r>
          </w:p>
          <w:p>
            <w:pPr>
              <w:spacing w:after="20"/>
              <w:ind w:left="20"/>
              <w:jc w:val="both"/>
            </w:pPr>
            <w:r>
              <w:rPr>
                <w:rFonts w:ascii="Times New Roman"/>
                <w:b w:val="false"/>
                <w:i w:val="false"/>
                <w:color w:val="000000"/>
                <w:sz w:val="20"/>
              </w:rPr>
              <w:t>
6) наличие отчета о движении зерна и тары на зернохранилище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на очистку, сушку зерна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отгрузки зерна:</w:t>
            </w:r>
          </w:p>
          <w:p>
            <w:pPr>
              <w:spacing w:after="20"/>
              <w:ind w:left="20"/>
              <w:jc w:val="both"/>
            </w:pPr>
            <w:r>
              <w:rPr>
                <w:rFonts w:ascii="Times New Roman"/>
                <w:b w:val="false"/>
                <w:i w:val="false"/>
                <w:color w:val="000000"/>
                <w:sz w:val="20"/>
              </w:rPr>
              <w:t>
1) наличие приказов на отгрузку зерна;</w:t>
            </w:r>
          </w:p>
          <w:p>
            <w:pPr>
              <w:spacing w:after="20"/>
              <w:ind w:left="20"/>
              <w:jc w:val="both"/>
            </w:pPr>
            <w:r>
              <w:rPr>
                <w:rFonts w:ascii="Times New Roman"/>
                <w:b w:val="false"/>
                <w:i w:val="false"/>
                <w:color w:val="000000"/>
                <w:sz w:val="20"/>
              </w:rPr>
              <w:t>
2) наличие реестра отгрузки зерна железнодорожным транспортом;</w:t>
            </w:r>
          </w:p>
          <w:p>
            <w:pPr>
              <w:spacing w:after="20"/>
              <w:ind w:left="20"/>
              <w:jc w:val="both"/>
            </w:pPr>
            <w:r>
              <w:rPr>
                <w:rFonts w:ascii="Times New Roman"/>
                <w:b w:val="false"/>
                <w:i w:val="false"/>
                <w:color w:val="000000"/>
                <w:sz w:val="20"/>
              </w:rPr>
              <w:t>
3) наличие реестра накладных на отгруженное автомобильным транспортом зерно;</w:t>
            </w:r>
          </w:p>
          <w:p>
            <w:pPr>
              <w:spacing w:after="20"/>
              <w:ind w:left="20"/>
              <w:jc w:val="both"/>
            </w:pPr>
            <w:r>
              <w:rPr>
                <w:rFonts w:ascii="Times New Roman"/>
                <w:b w:val="false"/>
                <w:i w:val="false"/>
                <w:color w:val="000000"/>
                <w:sz w:val="20"/>
              </w:rPr>
              <w:t>
4) наличие акта-расчета;</w:t>
            </w:r>
          </w:p>
          <w:p>
            <w:pPr>
              <w:spacing w:after="20"/>
              <w:ind w:left="20"/>
              <w:jc w:val="both"/>
            </w:pPr>
            <w:r>
              <w:rPr>
                <w:rFonts w:ascii="Times New Roman"/>
                <w:b w:val="false"/>
                <w:i w:val="false"/>
                <w:color w:val="000000"/>
                <w:sz w:val="20"/>
              </w:rPr>
              <w:t>
5) наличие накладной на перемещение зерна внутри территории зернохранилища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книги количественно-качественного учета зерна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хранение зерна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трехдневного срока регистрации приказа на выпуск зерновой расписки со дня приема зерна от владельца зерна хлебоприемным предприятием (хлебоприемное предприятие не позднее трех рабочих дней со дня приема зерна от владельца зерна регистрирует приказ на выпуск зерновой расписки)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страхования гражданско-правовой ответственности перед держателями зерновых расписок и ее частей либо участие в системе гарантирования исполнения обязательств по зерновым распискам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товарно-транспортных накладных на зерно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реестров накладных на принятое автомобильным транспортом зерно с определением качества по среднесуточной пробе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наблюдения за хранящимся зерном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аудиторского отчета по годовой финансовой отчетности хлебоприемного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резервной складской емкости в размере 10 % площади зернохранилища (хлебоприемного пункта), на элеваторах – не менее одного свободного силоса на каждый надсилосный транспортер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о загруженности хлебоприемных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о приобретенных, выписанных, погашенных, испорченных и чистых бланках зерновых расписок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о количестве и качестве поступающего на хранение зерна на хлебоприемное предприятие с нового урожая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рисков в области</w:t>
            </w:r>
            <w:r>
              <w:br/>
            </w:r>
            <w:r>
              <w:rPr>
                <w:rFonts w:ascii="Times New Roman"/>
                <w:b w:val="false"/>
                <w:i w:val="false"/>
                <w:color w:val="000000"/>
                <w:sz w:val="20"/>
              </w:rPr>
              <w:t>регулирования рынка зерна</w:t>
            </w:r>
          </w:p>
        </w:tc>
      </w:tr>
    </w:tbl>
    <w:bookmarkStart w:name="z128" w:id="103"/>
    <w:p>
      <w:pPr>
        <w:spacing w:after="0"/>
        <w:ind w:left="0"/>
        <w:jc w:val="left"/>
      </w:pPr>
      <w:r>
        <w:rPr>
          <w:rFonts w:ascii="Times New Roman"/>
          <w:b/>
          <w:i w:val="false"/>
          <w:color w:val="000000"/>
        </w:rPr>
        <w:t xml:space="preserve"> Степень нарушений требований в области регулирования рынка зерна для проведения проверки на соответствие квалификационным требованиям</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праве собственности зернохранилища (элеватора, хлебоприемного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технологического оборудования: зерноочистительных машин, зерносушильного оборудования, весового оборудования (поверенного в установленном порядке), погрузочно-разгрузочных устройств, подъемно-транспортного оборудования, передвижного транспортного оборудования, оборудования активного вентилирования, емкостей для хранения зерна, оборудования для контроля температуры и влажности зерна при хранении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пропускного режима, ограждения территории, асфальтированных и (или) бетонных 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производственно-технологической лаборатории для определения качества зерна, прошедшей оценку состояния измерений, оснащенной: лабораторным оборудованием и приборами (влагомерами, сушильными шкафами, весами лабораторными, мельницей для размола зерна, комплектами сит, пробоотборниками, пурками, устройствами для определения содержания белка, содержания и качества клейковины, числа падения, оптическими приборами для определения зараженности зерна); стеллажами для хранения образцов зерна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квалифицированного состава технических руководителей и специалистов, имеющих соответствующее образование (для технических руководителей – высшее техническое, технологическое или агрономическое образование, для специалистов – послесреднее (техническое, технологическое или агрономическое)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доступа к сети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рисков в области</w:t>
            </w:r>
            <w:r>
              <w:br/>
            </w:r>
            <w:r>
              <w:rPr>
                <w:rFonts w:ascii="Times New Roman"/>
                <w:b w:val="false"/>
                <w:i w:val="false"/>
                <w:color w:val="000000"/>
                <w:sz w:val="20"/>
              </w:rPr>
              <w:t>регулирования рынка зерна</w:t>
            </w:r>
          </w:p>
        </w:tc>
      </w:tr>
    </w:tbl>
    <w:bookmarkStart w:name="z130" w:id="104"/>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 в области регулирования рынка зерна</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субъективных критериев для определения степени риска в области регулирования рынка зерна в соответствии со </w:t>
            </w:r>
            <w:r>
              <w:rPr>
                <w:rFonts w:ascii="Times New Roman"/>
                <w:b w:val="false"/>
                <w:i w:val="false"/>
                <w:color w:val="000000"/>
                <w:sz w:val="20"/>
              </w:rPr>
              <w:t>статьей 138</w:t>
            </w:r>
            <w:r>
              <w:rPr>
                <w:rFonts w:ascii="Times New Roman"/>
                <w:b w:val="false"/>
                <w:i w:val="false"/>
                <w:color w:val="000000"/>
                <w:sz w:val="20"/>
              </w:rPr>
              <w:t xml:space="preserve"> Предпринимательского кодекса Республики Казахстан в отношении юридических лиц (хлебоприемных предприятий), осуществляющих деятельность, связанную с производством, хранением, транспортировкой, переработкой и реализацией зерна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 субъекта (объекта) контроля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о загруженности хлебоприемных предприятий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субъектами контроля в государственный электронный реестр держателей зерновых расписок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представление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о приобретенных, выписанных, погашенных, испорченных и чистых бланках зерновых расписок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субъектами контроля в государственный электронный реестр держателей зерновых расписок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представление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о количестве и качестве поступающего на хранение зерна на хлебоприемное предприятие с нового урожая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субъектами контроля в государственный электронный реестр держателей зерновых расписок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представление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июня 2023 года № 120</w:t>
            </w:r>
            <w:r>
              <w:br/>
            </w:r>
            <w:r>
              <w:rPr>
                <w:rFonts w:ascii="Times New Roman"/>
                <w:b w:val="false"/>
                <w:i w:val="false"/>
                <w:color w:val="000000"/>
                <w:sz w:val="20"/>
              </w:rPr>
              <w:t>и 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июня 2023 года № 235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июля 2019 года № 259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июля 2019 года № 63</w:t>
            </w:r>
          </w:p>
        </w:tc>
      </w:tr>
    </w:tbl>
    <w:bookmarkStart w:name="z133" w:id="105"/>
    <w:p>
      <w:pPr>
        <w:spacing w:after="0"/>
        <w:ind w:left="0"/>
        <w:jc w:val="left"/>
      </w:pPr>
      <w:r>
        <w:rPr>
          <w:rFonts w:ascii="Times New Roman"/>
          <w:b/>
          <w:i w:val="false"/>
          <w:color w:val="000000"/>
        </w:rPr>
        <w:t xml:space="preserve"> Проверочный лист в области регулирования рынка зерна для хлебоприемных предприятий</w:t>
      </w:r>
    </w:p>
    <w:bookmarkEnd w:id="105"/>
    <w:p>
      <w:pPr>
        <w:spacing w:after="0"/>
        <w:ind w:left="0"/>
        <w:jc w:val="both"/>
      </w:pPr>
      <w:bookmarkStart w:name="z134" w:id="106"/>
      <w:r>
        <w:rPr>
          <w:rFonts w:ascii="Times New Roman"/>
          <w:b w:val="false"/>
          <w:i w:val="false"/>
          <w:color w:val="000000"/>
          <w:sz w:val="28"/>
        </w:rPr>
        <w:t>
      Государственный орган, назначивший проверку/профилактический контроль</w:t>
      </w:r>
    </w:p>
    <w:bookmarkEnd w:id="106"/>
    <w:p>
      <w:pPr>
        <w:spacing w:after="0"/>
        <w:ind w:left="0"/>
        <w:jc w:val="both"/>
      </w:pPr>
      <w:r>
        <w:rPr>
          <w:rFonts w:ascii="Times New Roman"/>
          <w:b w:val="false"/>
          <w:i w:val="false"/>
          <w:color w:val="000000"/>
          <w:sz w:val="28"/>
        </w:rPr>
        <w:t>с посещением субъекта (объекта) контроля 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w:t>
      </w:r>
    </w:p>
    <w:p>
      <w:pPr>
        <w:spacing w:after="0"/>
        <w:ind w:left="0"/>
        <w:jc w:val="both"/>
      </w:pPr>
      <w:r>
        <w:rPr>
          <w:rFonts w:ascii="Times New Roman"/>
          <w:b w:val="false"/>
          <w:i w:val="false"/>
          <w:color w:val="000000"/>
          <w:sz w:val="28"/>
        </w:rPr>
        <w:t>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субъекта (объекта) контроля 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Адрес места нахождения______________________________________________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о загруженности хлебоприемных предприятий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о приобретенных, выписанных, погашенных, испорченных и чистых бланках зерновых расписок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о количестве и качестве поступающего на хранение зерна на хлебоприемное предприятие с нового урожая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зерна в соответствии с данными государственного электронного реестра держателей зерновых расписок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зерна, поступающего на хлебоприемные предприятия:</w:t>
            </w:r>
          </w:p>
          <w:p>
            <w:pPr>
              <w:spacing w:after="20"/>
              <w:ind w:left="20"/>
              <w:jc w:val="both"/>
            </w:pPr>
            <w:r>
              <w:rPr>
                <w:rFonts w:ascii="Times New Roman"/>
                <w:b w:val="false"/>
                <w:i w:val="false"/>
                <w:color w:val="000000"/>
                <w:sz w:val="20"/>
              </w:rPr>
              <w:t>
1) наличие журнала регистрации взвешивания грузов на автомобильных весах;</w:t>
            </w:r>
          </w:p>
          <w:p>
            <w:pPr>
              <w:spacing w:after="20"/>
              <w:ind w:left="20"/>
              <w:jc w:val="both"/>
            </w:pPr>
            <w:r>
              <w:rPr>
                <w:rFonts w:ascii="Times New Roman"/>
                <w:b w:val="false"/>
                <w:i w:val="false"/>
                <w:color w:val="000000"/>
                <w:sz w:val="20"/>
              </w:rPr>
              <w:t>
2) наличие журнала регистрации взвешивания грузов на вагонных весах</w:t>
            </w:r>
          </w:p>
          <w:p>
            <w:pPr>
              <w:spacing w:after="20"/>
              <w:ind w:left="20"/>
              <w:jc w:val="both"/>
            </w:pPr>
            <w:r>
              <w:rPr>
                <w:rFonts w:ascii="Times New Roman"/>
                <w:b w:val="false"/>
                <w:i w:val="false"/>
                <w:color w:val="000000"/>
                <w:sz w:val="20"/>
              </w:rPr>
              <w:t>
3) наличие журнала регистрации результатов лабораторных анализов;</w:t>
            </w:r>
          </w:p>
          <w:p>
            <w:pPr>
              <w:spacing w:after="20"/>
              <w:ind w:left="20"/>
              <w:jc w:val="both"/>
            </w:pPr>
            <w:r>
              <w:rPr>
                <w:rFonts w:ascii="Times New Roman"/>
                <w:b w:val="false"/>
                <w:i w:val="false"/>
                <w:color w:val="000000"/>
                <w:sz w:val="20"/>
              </w:rPr>
              <w:t>
4) наличие реестра накладных на принятое автомобильным транспортом зерно с определением качества по среднесуточной пробе;</w:t>
            </w:r>
          </w:p>
          <w:p>
            <w:pPr>
              <w:spacing w:after="20"/>
              <w:ind w:left="20"/>
              <w:jc w:val="both"/>
            </w:pPr>
            <w:r>
              <w:rPr>
                <w:rFonts w:ascii="Times New Roman"/>
                <w:b w:val="false"/>
                <w:i w:val="false"/>
                <w:color w:val="000000"/>
                <w:sz w:val="20"/>
              </w:rPr>
              <w:t>
5) наличие реестра накладных на принятое железнодорожным транспортом зерно;</w:t>
            </w:r>
          </w:p>
          <w:p>
            <w:pPr>
              <w:spacing w:after="20"/>
              <w:ind w:left="20"/>
              <w:jc w:val="both"/>
            </w:pPr>
            <w:r>
              <w:rPr>
                <w:rFonts w:ascii="Times New Roman"/>
                <w:b w:val="false"/>
                <w:i w:val="false"/>
                <w:color w:val="000000"/>
                <w:sz w:val="20"/>
              </w:rPr>
              <w:t>
6) наличие отчета о движении зерна и тары на зернохранилище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на очистку, сушку зерна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отгрузки зерна:</w:t>
            </w:r>
          </w:p>
          <w:p>
            <w:pPr>
              <w:spacing w:after="20"/>
              <w:ind w:left="20"/>
              <w:jc w:val="both"/>
            </w:pPr>
            <w:r>
              <w:rPr>
                <w:rFonts w:ascii="Times New Roman"/>
                <w:b w:val="false"/>
                <w:i w:val="false"/>
                <w:color w:val="000000"/>
                <w:sz w:val="20"/>
              </w:rPr>
              <w:t>
1) наличие приказов на отгрузку зерна;</w:t>
            </w:r>
          </w:p>
          <w:p>
            <w:pPr>
              <w:spacing w:after="20"/>
              <w:ind w:left="20"/>
              <w:jc w:val="both"/>
            </w:pPr>
            <w:r>
              <w:rPr>
                <w:rFonts w:ascii="Times New Roman"/>
                <w:b w:val="false"/>
                <w:i w:val="false"/>
                <w:color w:val="000000"/>
                <w:sz w:val="20"/>
              </w:rPr>
              <w:t>
2) наличие реестра отгрузки зерна железнодорожным транспортом;</w:t>
            </w:r>
          </w:p>
          <w:p>
            <w:pPr>
              <w:spacing w:after="20"/>
              <w:ind w:left="20"/>
              <w:jc w:val="both"/>
            </w:pPr>
            <w:r>
              <w:rPr>
                <w:rFonts w:ascii="Times New Roman"/>
                <w:b w:val="false"/>
                <w:i w:val="false"/>
                <w:color w:val="000000"/>
                <w:sz w:val="20"/>
              </w:rPr>
              <w:t>3) наличие реестра накладных на отгруженное автомобильным транспортом зерно;</w:t>
            </w:r>
          </w:p>
          <w:p>
            <w:pPr>
              <w:spacing w:after="20"/>
              <w:ind w:left="20"/>
              <w:jc w:val="both"/>
            </w:pPr>
            <w:r>
              <w:rPr>
                <w:rFonts w:ascii="Times New Roman"/>
                <w:b w:val="false"/>
                <w:i w:val="false"/>
                <w:color w:val="000000"/>
                <w:sz w:val="20"/>
              </w:rPr>
              <w:t>
4) наличие акта-расчета;</w:t>
            </w:r>
          </w:p>
          <w:p>
            <w:pPr>
              <w:spacing w:after="20"/>
              <w:ind w:left="20"/>
              <w:jc w:val="both"/>
            </w:pPr>
            <w:r>
              <w:rPr>
                <w:rFonts w:ascii="Times New Roman"/>
                <w:b w:val="false"/>
                <w:i w:val="false"/>
                <w:color w:val="000000"/>
                <w:sz w:val="20"/>
              </w:rPr>
              <w:t>
5) наличие накладной на перемещение зерна внутри территории зернохранилища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книги количественно-качественного учета зерна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хранение зерна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трехдневного срока регистрации приказа на выпуск зерновой расписки со дня приема зерна от владельца зерна хлебоприемным предприятием (хлебоприемное предприятие не позднее трех рабочих дней со дня приема зерна от владельца зерна регистрирует приказ на выпуск зерновой расписки)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страхования гражданско-правовой ответственности перед держателями зерновых расписок и ее частей либо участие в системе гарантирования исполнения обязательств по зерновым распискам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товарно-транспортных накладных на зерно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реестров накладных на принятое автомобильным транспортом зерно с определением качества по среднесуточной пробе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наблюдения за хранящимся зерном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аудиторского отчета по годовой финансовой отчетности хлебоприемного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резервной складской емкости в размере 10 % площади зернохранилища (хлебоприемного пункта), на элеваторах – не менее одного свободного силоса на каждый надсилосный транспортер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5" w:id="107"/>
      <w:r>
        <w:rPr>
          <w:rFonts w:ascii="Times New Roman"/>
          <w:b w:val="false"/>
          <w:i w:val="false"/>
          <w:color w:val="000000"/>
          <w:sz w:val="28"/>
        </w:rPr>
        <w:t>
      Должностное (ые) лицо (а) _____________________ _______________</w:t>
      </w:r>
    </w:p>
    <w:bookmarkEnd w:id="107"/>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июня 2023 года № 120</w:t>
            </w:r>
            <w:r>
              <w:br/>
            </w:r>
            <w:r>
              <w:rPr>
                <w:rFonts w:ascii="Times New Roman"/>
                <w:b w:val="false"/>
                <w:i w:val="false"/>
                <w:color w:val="000000"/>
                <w:sz w:val="20"/>
              </w:rPr>
              <w:t>и 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июня 2023 года № 235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июля 2019 года № 259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июля 2019 года № 63</w:t>
            </w:r>
          </w:p>
        </w:tc>
      </w:tr>
    </w:tbl>
    <w:bookmarkStart w:name="z148" w:id="108"/>
    <w:p>
      <w:pPr>
        <w:spacing w:after="0"/>
        <w:ind w:left="0"/>
        <w:jc w:val="left"/>
      </w:pPr>
      <w:r>
        <w:rPr>
          <w:rFonts w:ascii="Times New Roman"/>
          <w:b/>
          <w:i w:val="false"/>
          <w:color w:val="000000"/>
        </w:rPr>
        <w:t xml:space="preserve"> Проверочный лист в области регулирования рынка зерна для хлебоприемных предприятий</w:t>
      </w:r>
    </w:p>
    <w:bookmarkEnd w:id="108"/>
    <w:p>
      <w:pPr>
        <w:spacing w:after="0"/>
        <w:ind w:left="0"/>
        <w:jc w:val="both"/>
      </w:pPr>
      <w:bookmarkStart w:name="z149" w:id="109"/>
      <w:r>
        <w:rPr>
          <w:rFonts w:ascii="Times New Roman"/>
          <w:b w:val="false"/>
          <w:i w:val="false"/>
          <w:color w:val="000000"/>
          <w:sz w:val="28"/>
        </w:rPr>
        <w:t>
      Государственный орган, назначивший проверку</w:t>
      </w:r>
    </w:p>
    <w:bookmarkEnd w:id="109"/>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Акт о назначении проверки __________________________________________</w:t>
      </w:r>
    </w:p>
    <w:p>
      <w:pPr>
        <w:spacing w:after="0"/>
        <w:ind w:left="0"/>
        <w:jc w:val="both"/>
      </w:pPr>
      <w:r>
        <w:rPr>
          <w:rFonts w:ascii="Times New Roman"/>
          <w:b w:val="false"/>
          <w:i w:val="false"/>
          <w:color w:val="000000"/>
          <w:sz w:val="28"/>
        </w:rPr>
        <w:t>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w:t>
      </w:r>
    </w:p>
    <w:p>
      <w:pPr>
        <w:spacing w:after="0"/>
        <w:ind w:left="0"/>
        <w:jc w:val="both"/>
      </w:pPr>
      <w:r>
        <w:rPr>
          <w:rFonts w:ascii="Times New Roman"/>
          <w:b w:val="false"/>
          <w:i w:val="false"/>
          <w:color w:val="000000"/>
          <w:sz w:val="28"/>
        </w:rPr>
        <w:t>Бизнес-идентификационный номер субъекта (объекта)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Адрес места нахождения_____________________________________________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праве собственности зернохранилища (элеватора, хлебоприемного пункта)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технологического оборудования: зерноочистительных машин, зерносушильного оборудования, весового оборудования (поверенного в установленном порядке), погрузочно-разгрузочных устройств, подъемно-транспортного оборудования, передвижного транспортного оборудования, оборудования активного вентилирования, емкостей для хранения зерна, оборудования для контроля температуры и влажности зерна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пропускного режима, ограждения территории, асфальтированных и (или) бетонных 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производственно-технологической лаборатории для определения качества зерна, прошедшей оценку состояния измерений, оснащенной: лабораторным оборудованием и приборами (влагомерами, сушильными шкафами, весами лабораторными, мельницей для размола зерна, комплектами сит, пробоотборниками, пурками, устройствами для определения содержания белка, содержания и качества клейковины, числа падения, оптическими приборами для определения зараженности зерна); стеллажами для хранения образцов зерна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квалифицированного состава технических руководителей и специалистов, имеющих соответствующее образование (для технических руководителей – высшее техническое, технологическое или агрономическое образование, для специалистов – послесреднее (техническое, технологическое или агрономическое)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доступа к сети Интернет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0" w:id="110"/>
      <w:r>
        <w:rPr>
          <w:rFonts w:ascii="Times New Roman"/>
          <w:b w:val="false"/>
          <w:i w:val="false"/>
          <w:color w:val="000000"/>
          <w:sz w:val="28"/>
        </w:rPr>
        <w:t>
      Должностное (ые) лицо (а) _________________________ ___________</w:t>
      </w:r>
    </w:p>
    <w:bookmarkEnd w:id="110"/>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