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f5d" w14:textId="605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2015 года № 176 "Об утверждении Правил осуществления мониторинга сделок"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июля 2023 года № 734. Зарегистрирован в Министерстве юстиции Республики Казахстан 10 июля 2023 года № 33045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176 "Об утверждении Правил осуществления мониторинга сделок" (зарегистрирован в Реестре государственной регистрации нормативных правовых актов под № 10760)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сделок,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Мониторинг сделок осуществляется путем наблюдения органами государственных доходов Республики Казахстан за ценами, применяемыми участниками сделок по международным деловым операциям по товарам (работам, услугам)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194 "Об утверждении Перечня товаров (работ, услуг), международные деловые операции по которым подлежат мониторингу сделок" (зарегистрирован в Реестре государственной регистрации нормативных правовых актов под № 10680) общая сумма доходов (расходов) и (или) обязательств по которым в отчетном финансовом году составляет не менее 250 000 месячного расчетного показателя, установленного законом о республиканском бюджете и действующего на первое января отчетного финансового года.";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734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сделок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государственных доходов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https://kgd.gov.kz/ru/content/transfertnoe-cenoobrazovanie-1-1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 по мониторингу сделок "Экспорт товаров (работ, услуг)".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1-Э ТРУ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налогоплательщики,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деловые операции по товарам (работам, услугам)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трансфертном ценообразовании", общая сумма доходов (расходов)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которым в отчетном финансовом году составляет не менее 250 000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установленного законом 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и действующего на первое января отчетного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 15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мониторинга сделок, утвержденных настоящим приказом.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сделок "Экспорт товаров (работ, услуг)"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 (экспортера)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 –экономической деятельности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Репутация на рынке товаров (работ, услуг)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 товара, выполнения работы, оказания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товарного знака (торговой марки, бренда)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товара согласно ИНКО ТЕРМС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доставки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взаимосвязанности сторон (продавца и покупателя)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счета-фактуры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валюте контракта (договора)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(в валюте контракта (договора)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трансфертного ценообразования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установление цены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применяемый для определения рыночной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 (с расшифровкой)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предпринимательской деятельности участника сделки (экспортера), отрасли деятельности и условий рынка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бизнеса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обосновывающая правильность применения цены сделки товара (работы, услуги)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влияющая на величину отклонения цены сделки товара (работы, услуги) от рыночной цены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цен на товары (работы, услуги) на экспортных рынках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ведения деловых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международным стандартам бухгалтерского учета, в том числе финансовая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анализ, анализ рисков, материальных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Маржа, комиссионное (агентское) вознаграждение торгового брокера, трейдера или агента либо компенсации за выполнение ими торгово-посреднических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Котировальный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из источника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734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сделок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Комитет государственных доходов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https://kgd.gov.kz/ru/content/transfertnoe-cenoobrazovanie-1-1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Отчетность по мониторингу сделок "Импорт товаров (работ, услуг)".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2-И 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налогоплательщики,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деловые операции по товарам (работам, услугам)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трансфертном ценообразовании", общая сумма доходов (расходов)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которым в отчетном финансовом году составляет не менее 250 000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установленного законом о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бюджете и действующего на первое января отчетного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Правилах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сделок, утвержденных настоящим приказом.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сделок "Импорт товаров (работ, услуг)"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отправителя (импортера)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внешне-экономической деятельности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Репутация на рынке товаров (работ, услуг)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 товара, выполнения работы, оказания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транспортировки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товарного знака (торговой марки, бренда)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товара согласно ИНКО ТЕРМС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доставки товара (работы, услуги)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покупателя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отправителя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взаимосвязанности сторон (продавца и покупателя)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счета-фактуры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валюте контракта (договора)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(в валюте контракта (договора)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контракта (договора)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трансфертного ценообразования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установление цены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применяемый для определения рыночной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 (с расшифровкой)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товара (работы, услуги)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предпринимательской деятельности участника сделки (экспортера), отрасли деятельности и условий рынка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бизнеса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обосновывающая правильность применения цены сделки товара (работы, услуги)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влияющая на величину отклонения цены сделки товара (работы, услуги) от рыночной цены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цен на товары (работы, услуги) на экспортных рынках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ведения деловых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международным стандартам бухгалтерского учета, в том числе финансовая отчетность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анализ, анализ рисков, материальных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Маржа, комиссионное (агентское) вознаграждение торгового брокера, трейдера или агента либо компенсации за выполнение ими торгово-посреднических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Котировальный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из источника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