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3d4a" w14:textId="7d83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в области земельных правоотношений</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4 июля 2023 года № 254 и Министра национальной экономики Республики Казахстан от 4 июля 2023 года № 133. Зарегистрирован в Министерстве юстиции Республики Казахстан 11 июля 2023 года № 33054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ПРИКАЗЫВАЕМ:</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рисков в области земельных правоотношений за законностью принятых решений местных исполнительных органов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проверочный лист в области земельных правоотношений за законностью принятых решений местных исполнительных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Карашукеев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133</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254</w:t>
            </w:r>
          </w:p>
        </w:tc>
      </w:tr>
    </w:tbl>
    <w:bookmarkStart w:name="z17" w:id="10"/>
    <w:p>
      <w:pPr>
        <w:spacing w:after="0"/>
        <w:ind w:left="0"/>
        <w:jc w:val="left"/>
      </w:pPr>
      <w:r>
        <w:rPr>
          <w:rFonts w:ascii="Times New Roman"/>
          <w:b/>
          <w:i w:val="false"/>
          <w:color w:val="000000"/>
        </w:rPr>
        <w:t xml:space="preserve"> Критерии оценки степени рисков в области земельных правоотношений за законностью принятых решений местных исполнительных органов</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критерии оценки степени рисков в области земельных правоотношений за законностью принятых решений местных исполнительных органов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статьей 143 Предпринимательского кодекса Республики Казахстан, а также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w:t>
      </w:r>
    </w:p>
    <w:bookmarkEnd w:id="12"/>
    <w:bookmarkStart w:name="z20" w:id="1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3"/>
    <w:bookmarkStart w:name="z21" w:id="14"/>
    <w:p>
      <w:pPr>
        <w:spacing w:after="0"/>
        <w:ind w:left="0"/>
        <w:jc w:val="both"/>
      </w:pPr>
      <w:r>
        <w:rPr>
          <w:rFonts w:ascii="Times New Roman"/>
          <w:b w:val="false"/>
          <w:i w:val="false"/>
          <w:color w:val="000000"/>
          <w:sz w:val="28"/>
        </w:rPr>
        <w:t>
      1) субъекты контроля – местные исполнительные органы, уполномоченные органы по земельным отношениям, структурные подразделения местных исполнительных органов, осуществляющих функции в сфере архитектуры и градостроительства;</w:t>
      </w:r>
    </w:p>
    <w:bookmarkEnd w:id="14"/>
    <w:bookmarkStart w:name="z22" w:id="15"/>
    <w:p>
      <w:pPr>
        <w:spacing w:after="0"/>
        <w:ind w:left="0"/>
        <w:jc w:val="both"/>
      </w:pPr>
      <w:r>
        <w:rPr>
          <w:rFonts w:ascii="Times New Roman"/>
          <w:b w:val="false"/>
          <w:i w:val="false"/>
          <w:color w:val="000000"/>
          <w:sz w:val="28"/>
        </w:rPr>
        <w:t>
      2) незначительные нарушения – нарушения требований земельного законодательства, выраженные в несоблюдении требований по предоставлению информации о наличии земельных участков для жилищного строительства, специального земельного фонда, нарушения сроков подготовки предложений в соответствии с территориальным зонированием о возможности использования испрашиваемого земельного участка по заявленному целевому назначению, несоблюдение структурным подразделением местного исполнительного органа, осуществляющим функции в сфере архитектуры и градостроительства срока подготовки акта выбора земельного участка с его ситуационной схемой;</w:t>
      </w:r>
    </w:p>
    <w:bookmarkEnd w:id="15"/>
    <w:bookmarkStart w:name="z23" w:id="16"/>
    <w:p>
      <w:pPr>
        <w:spacing w:after="0"/>
        <w:ind w:left="0"/>
        <w:jc w:val="both"/>
      </w:pPr>
      <w:r>
        <w:rPr>
          <w:rFonts w:ascii="Times New Roman"/>
          <w:b w:val="false"/>
          <w:i w:val="false"/>
          <w:color w:val="000000"/>
          <w:sz w:val="28"/>
        </w:rPr>
        <w:t>
      3) значительные нарушения – нарушения требований земельного законодательства, выраженные в несоблюдении установленных сроков рассмотрения ходатайств (заявлений) физических и юридических лиц, принятия решения местными исполнительными органами о предоставлении или об отказе в предоставлении прав на земельные участки, рассмотрения и утверждения землеустроительного проекта, заключения договора купли-продажи или временного возмездного (безвозмездного) землепользования, размещения информации со списками лиц, получивших земельный участок, проведение торгов (аукционов) и конкурсов, а также в несоблюдении требований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и перевода сельскохозяйственных угодий из одного вида в другой;</w:t>
      </w:r>
    </w:p>
    <w:bookmarkEnd w:id="16"/>
    <w:bookmarkStart w:name="z24" w:id="17"/>
    <w:p>
      <w:pPr>
        <w:spacing w:after="0"/>
        <w:ind w:left="0"/>
        <w:jc w:val="both"/>
      </w:pPr>
      <w:r>
        <w:rPr>
          <w:rFonts w:ascii="Times New Roman"/>
          <w:b w:val="false"/>
          <w:i w:val="false"/>
          <w:color w:val="000000"/>
          <w:sz w:val="28"/>
        </w:rPr>
        <w:t>
      4) грубые нарушения – нарушения требований земельного законодательства, влияющие законным интересам физических и юридических лиц, имущественным интересам государства, выраженные в нарушении порядка принятия решения местными исполнительными органами о предоставлении, об отказе, об изменении целевого назначения земельных участков или права аренды земельных участков.</w:t>
      </w:r>
    </w:p>
    <w:bookmarkEnd w:id="17"/>
    <w:bookmarkStart w:name="z25" w:id="18"/>
    <w:p>
      <w:pPr>
        <w:spacing w:after="0"/>
        <w:ind w:left="0"/>
        <w:jc w:val="both"/>
      </w:pPr>
      <w:r>
        <w:rPr>
          <w:rFonts w:ascii="Times New Roman"/>
          <w:b w:val="false"/>
          <w:i w:val="false"/>
          <w:color w:val="000000"/>
          <w:sz w:val="28"/>
        </w:rPr>
        <w:t>
      3. Определение субъектов контроля по степеням риска осуществляется путем объективных и субъективных критериев по оценке степени рисков.</w:t>
      </w:r>
    </w:p>
    <w:bookmarkEnd w:id="18"/>
    <w:bookmarkStart w:name="z26" w:id="19"/>
    <w:p>
      <w:pPr>
        <w:spacing w:after="0"/>
        <w:ind w:left="0"/>
        <w:jc w:val="both"/>
      </w:pPr>
      <w:r>
        <w:rPr>
          <w:rFonts w:ascii="Times New Roman"/>
          <w:b w:val="false"/>
          <w:i w:val="false"/>
          <w:color w:val="000000"/>
          <w:sz w:val="28"/>
        </w:rPr>
        <w:t>
      4. По объективным критериям субъекты контроля разделены на две группы риска:</w:t>
      </w:r>
    </w:p>
    <w:bookmarkEnd w:id="19"/>
    <w:bookmarkStart w:name="z27" w:id="20"/>
    <w:p>
      <w:pPr>
        <w:spacing w:after="0"/>
        <w:ind w:left="0"/>
        <w:jc w:val="both"/>
      </w:pPr>
      <w:r>
        <w:rPr>
          <w:rFonts w:ascii="Times New Roman"/>
          <w:b w:val="false"/>
          <w:i w:val="false"/>
          <w:color w:val="000000"/>
          <w:sz w:val="28"/>
        </w:rPr>
        <w:t>
      1) высокая степень риска – местные исполнительные органы областей, городов Астаны, Алматы и Шымкент, районов, городов областного значения, акимы городов районного значения, управления земельных отношений областей, городов Астаны, Алматы и Шымкент, отделы земельных отношений районов, городов областного значения и структурные подразделения указанных местных исполнительных органов, осуществляющих функции в сфере архитектуры и градостроительства;</w:t>
      </w:r>
    </w:p>
    <w:bookmarkEnd w:id="20"/>
    <w:bookmarkStart w:name="z28" w:id="21"/>
    <w:p>
      <w:pPr>
        <w:spacing w:after="0"/>
        <w:ind w:left="0"/>
        <w:jc w:val="both"/>
      </w:pPr>
      <w:r>
        <w:rPr>
          <w:rFonts w:ascii="Times New Roman"/>
          <w:b w:val="false"/>
          <w:i w:val="false"/>
          <w:color w:val="000000"/>
          <w:sz w:val="28"/>
        </w:rPr>
        <w:t>
      2) не отнесенная к высокой степени риска – акимы поселков, сел и сельских округов.</w:t>
      </w:r>
    </w:p>
    <w:bookmarkEnd w:id="21"/>
    <w:bookmarkStart w:name="z29" w:id="22"/>
    <w:p>
      <w:pPr>
        <w:spacing w:after="0"/>
        <w:ind w:left="0"/>
        <w:jc w:val="both"/>
      </w:pPr>
      <w:r>
        <w:rPr>
          <w:rFonts w:ascii="Times New Roman"/>
          <w:b w:val="false"/>
          <w:i w:val="false"/>
          <w:color w:val="000000"/>
          <w:sz w:val="28"/>
        </w:rPr>
        <w:t>
      В отношении субъектов контроля, не отнесенных к высокой степени риска профилактический контроль с посещением субъекта (объекта) контроля не проводится.</w:t>
      </w:r>
    </w:p>
    <w:bookmarkEnd w:id="22"/>
    <w:bookmarkStart w:name="z30" w:id="23"/>
    <w:p>
      <w:pPr>
        <w:spacing w:after="0"/>
        <w:ind w:left="0"/>
        <w:jc w:val="both"/>
      </w:pPr>
      <w:r>
        <w:rPr>
          <w:rFonts w:ascii="Times New Roman"/>
          <w:b w:val="false"/>
          <w:i w:val="false"/>
          <w:color w:val="000000"/>
          <w:sz w:val="28"/>
        </w:rPr>
        <w:t>
      5. В отношении субъектов контроля, отнесенных к высокой степени риска проводятся профилактический контроль с посещением субъекта (объекта) контроля и внеплановые проверки.</w:t>
      </w:r>
    </w:p>
    <w:bookmarkEnd w:id="23"/>
    <w:bookmarkStart w:name="z31" w:id="24"/>
    <w:p>
      <w:pPr>
        <w:spacing w:after="0"/>
        <w:ind w:left="0"/>
        <w:jc w:val="both"/>
      </w:pPr>
      <w:r>
        <w:rPr>
          <w:rFonts w:ascii="Times New Roman"/>
          <w:b w:val="false"/>
          <w:i w:val="false"/>
          <w:color w:val="000000"/>
          <w:sz w:val="28"/>
        </w:rPr>
        <w:t>
      В отношении субъектов контроля, не отнесенных к высокой степени риска проводятся внеплановые проверки.</w:t>
      </w:r>
    </w:p>
    <w:bookmarkEnd w:id="24"/>
    <w:bookmarkStart w:name="z32" w:id="25"/>
    <w:p>
      <w:pPr>
        <w:spacing w:after="0"/>
        <w:ind w:left="0"/>
        <w:jc w:val="both"/>
      </w:pPr>
      <w:r>
        <w:rPr>
          <w:rFonts w:ascii="Times New Roman"/>
          <w:b w:val="false"/>
          <w:i w:val="false"/>
          <w:color w:val="000000"/>
          <w:sz w:val="28"/>
        </w:rPr>
        <w:t>
      6. Кратность проведения профилактического контроля с посещением субъекта (объекта) контроля не может быть чаще одного раза в год.</w:t>
      </w:r>
    </w:p>
    <w:bookmarkEnd w:id="25"/>
    <w:bookmarkStart w:name="z33" w:id="26"/>
    <w:p>
      <w:pPr>
        <w:spacing w:after="0"/>
        <w:ind w:left="0"/>
        <w:jc w:val="both"/>
      </w:pPr>
      <w:r>
        <w:rPr>
          <w:rFonts w:ascii="Times New Roman"/>
          <w:b w:val="false"/>
          <w:i w:val="false"/>
          <w:color w:val="000000"/>
          <w:sz w:val="28"/>
        </w:rPr>
        <w:t>
      7. Субъективные критерии определяются на основании следующих информационных источников:</w:t>
      </w:r>
    </w:p>
    <w:bookmarkEnd w:id="26"/>
    <w:bookmarkStart w:name="z34" w:id="27"/>
    <w:p>
      <w:pPr>
        <w:spacing w:after="0"/>
        <w:ind w:left="0"/>
        <w:jc w:val="both"/>
      </w:pPr>
      <w:r>
        <w:rPr>
          <w:rFonts w:ascii="Times New Roman"/>
          <w:b w:val="false"/>
          <w:i w:val="false"/>
          <w:color w:val="000000"/>
          <w:sz w:val="28"/>
        </w:rPr>
        <w:t xml:space="preserve">
      1) результаты предыдущих проверок и профилактического контроля с посещением субъектов (объектов) контроля. </w:t>
      </w:r>
    </w:p>
    <w:bookmarkEnd w:id="27"/>
    <w:bookmarkStart w:name="z35" w:id="28"/>
    <w:p>
      <w:pPr>
        <w:spacing w:after="0"/>
        <w:ind w:left="0"/>
        <w:jc w:val="both"/>
      </w:pPr>
      <w:r>
        <w:rPr>
          <w:rFonts w:ascii="Times New Roman"/>
          <w:b w:val="false"/>
          <w:i w:val="false"/>
          <w:color w:val="000000"/>
          <w:sz w:val="28"/>
        </w:rPr>
        <w:t>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p>
    <w:bookmarkEnd w:id="28"/>
    <w:bookmarkStart w:name="z36" w:id="29"/>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29"/>
    <w:bookmarkStart w:name="z37" w:id="30"/>
    <w:p>
      <w:pPr>
        <w:spacing w:after="0"/>
        <w:ind w:left="0"/>
        <w:jc w:val="both"/>
      </w:pPr>
      <w:r>
        <w:rPr>
          <w:rFonts w:ascii="Times New Roman"/>
          <w:b w:val="false"/>
          <w:i w:val="false"/>
          <w:color w:val="000000"/>
          <w:sz w:val="28"/>
        </w:rPr>
        <w:t xml:space="preserve">
      8. На основании информационных источников, определенных в пункте 7 определяются субъективные критерии оценки степени риска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Критериям.</w:t>
      </w:r>
    </w:p>
    <w:bookmarkEnd w:id="30"/>
    <w:bookmarkStart w:name="z38" w:id="31"/>
    <w:p>
      <w:pPr>
        <w:spacing w:after="0"/>
        <w:ind w:left="0"/>
        <w:jc w:val="both"/>
      </w:pPr>
      <w:r>
        <w:rPr>
          <w:rFonts w:ascii="Times New Roman"/>
          <w:b w:val="false"/>
          <w:i w:val="false"/>
          <w:color w:val="000000"/>
          <w:sz w:val="28"/>
        </w:rPr>
        <w:t>
      По показателям степени риска субъекты контроля относятся:</w:t>
      </w:r>
    </w:p>
    <w:bookmarkEnd w:id="31"/>
    <w:bookmarkStart w:name="z39" w:id="32"/>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32"/>
    <w:bookmarkStart w:name="z40" w:id="33"/>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70 и в отношении него не проводится профилактический контроль с посещением субъекта (объекта) контроля.</w:t>
      </w:r>
    </w:p>
    <w:bookmarkEnd w:id="33"/>
    <w:bookmarkStart w:name="z41" w:id="34"/>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34"/>
    <w:bookmarkStart w:name="z42" w:id="35"/>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35"/>
    <w:bookmarkStart w:name="z43" w:id="36"/>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36"/>
    <w:bookmarkStart w:name="z44" w:id="37"/>
    <w:p>
      <w:pPr>
        <w:spacing w:after="0"/>
        <w:ind w:left="0"/>
        <w:jc w:val="both"/>
      </w:pPr>
      <w:r>
        <w:rPr>
          <w:rFonts w:ascii="Times New Roman"/>
          <w:b w:val="false"/>
          <w:i w:val="false"/>
          <w:color w:val="000000"/>
          <w:sz w:val="28"/>
        </w:rPr>
        <w:t>
      Рз = (Р2 х 100/Р1) х 0,7,</w:t>
      </w:r>
    </w:p>
    <w:bookmarkEnd w:id="37"/>
    <w:bookmarkStart w:name="z45" w:id="38"/>
    <w:p>
      <w:pPr>
        <w:spacing w:after="0"/>
        <w:ind w:left="0"/>
        <w:jc w:val="both"/>
      </w:pPr>
      <w:r>
        <w:rPr>
          <w:rFonts w:ascii="Times New Roman"/>
          <w:b w:val="false"/>
          <w:i w:val="false"/>
          <w:color w:val="000000"/>
          <w:sz w:val="28"/>
        </w:rPr>
        <w:t>
      где:</w:t>
      </w:r>
    </w:p>
    <w:bookmarkEnd w:id="38"/>
    <w:bookmarkStart w:name="z46" w:id="39"/>
    <w:p>
      <w:pPr>
        <w:spacing w:after="0"/>
        <w:ind w:left="0"/>
        <w:jc w:val="both"/>
      </w:pPr>
      <w:r>
        <w:rPr>
          <w:rFonts w:ascii="Times New Roman"/>
          <w:b w:val="false"/>
          <w:i w:val="false"/>
          <w:color w:val="000000"/>
          <w:sz w:val="28"/>
        </w:rPr>
        <w:t>
      Рз – показатель значительных нарушений;</w:t>
      </w:r>
    </w:p>
    <w:bookmarkEnd w:id="39"/>
    <w:bookmarkStart w:name="z47" w:id="40"/>
    <w:p>
      <w:pPr>
        <w:spacing w:after="0"/>
        <w:ind w:left="0"/>
        <w:jc w:val="both"/>
      </w:pPr>
      <w:r>
        <w:rPr>
          <w:rFonts w:ascii="Times New Roman"/>
          <w:b w:val="false"/>
          <w:i w:val="false"/>
          <w:color w:val="000000"/>
          <w:sz w:val="28"/>
        </w:rPr>
        <w:t>
      Р1 – требуемое количество значительных нарушений;</w:t>
      </w:r>
    </w:p>
    <w:bookmarkEnd w:id="40"/>
    <w:bookmarkStart w:name="z48" w:id="41"/>
    <w:p>
      <w:pPr>
        <w:spacing w:after="0"/>
        <w:ind w:left="0"/>
        <w:jc w:val="both"/>
      </w:pPr>
      <w:r>
        <w:rPr>
          <w:rFonts w:ascii="Times New Roman"/>
          <w:b w:val="false"/>
          <w:i w:val="false"/>
          <w:color w:val="000000"/>
          <w:sz w:val="28"/>
        </w:rPr>
        <w:t>
      Р2 – количество выявленных значительных нарушений;</w:t>
      </w:r>
    </w:p>
    <w:bookmarkEnd w:id="41"/>
    <w:bookmarkStart w:name="z49" w:id="42"/>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42"/>
    <w:bookmarkStart w:name="z50" w:id="43"/>
    <w:p>
      <w:pPr>
        <w:spacing w:after="0"/>
        <w:ind w:left="0"/>
        <w:jc w:val="both"/>
      </w:pPr>
      <w:r>
        <w:rPr>
          <w:rFonts w:ascii="Times New Roman"/>
          <w:b w:val="false"/>
          <w:i w:val="false"/>
          <w:color w:val="000000"/>
          <w:sz w:val="28"/>
        </w:rPr>
        <w:t>
      Рн = (Р2 х 100/Р1) х 0,3,</w:t>
      </w:r>
    </w:p>
    <w:bookmarkEnd w:id="43"/>
    <w:bookmarkStart w:name="z51" w:id="44"/>
    <w:p>
      <w:pPr>
        <w:spacing w:after="0"/>
        <w:ind w:left="0"/>
        <w:jc w:val="both"/>
      </w:pPr>
      <w:r>
        <w:rPr>
          <w:rFonts w:ascii="Times New Roman"/>
          <w:b w:val="false"/>
          <w:i w:val="false"/>
          <w:color w:val="000000"/>
          <w:sz w:val="28"/>
        </w:rPr>
        <w:t>
      где:</w:t>
      </w:r>
    </w:p>
    <w:bookmarkEnd w:id="44"/>
    <w:bookmarkStart w:name="z52" w:id="45"/>
    <w:p>
      <w:pPr>
        <w:spacing w:after="0"/>
        <w:ind w:left="0"/>
        <w:jc w:val="both"/>
      </w:pPr>
      <w:r>
        <w:rPr>
          <w:rFonts w:ascii="Times New Roman"/>
          <w:b w:val="false"/>
          <w:i w:val="false"/>
          <w:color w:val="000000"/>
          <w:sz w:val="28"/>
        </w:rPr>
        <w:t>
      Рн – показатель незначительных нарушений;</w:t>
      </w:r>
    </w:p>
    <w:bookmarkEnd w:id="45"/>
    <w:bookmarkStart w:name="z53" w:id="46"/>
    <w:p>
      <w:pPr>
        <w:spacing w:after="0"/>
        <w:ind w:left="0"/>
        <w:jc w:val="both"/>
      </w:pPr>
      <w:r>
        <w:rPr>
          <w:rFonts w:ascii="Times New Roman"/>
          <w:b w:val="false"/>
          <w:i w:val="false"/>
          <w:color w:val="000000"/>
          <w:sz w:val="28"/>
        </w:rPr>
        <w:t>
      Р1 – требуемое количество незначительных нарушений;</w:t>
      </w:r>
    </w:p>
    <w:bookmarkEnd w:id="46"/>
    <w:bookmarkStart w:name="z54" w:id="47"/>
    <w:p>
      <w:pPr>
        <w:spacing w:after="0"/>
        <w:ind w:left="0"/>
        <w:jc w:val="both"/>
      </w:pPr>
      <w:r>
        <w:rPr>
          <w:rFonts w:ascii="Times New Roman"/>
          <w:b w:val="false"/>
          <w:i w:val="false"/>
          <w:color w:val="000000"/>
          <w:sz w:val="28"/>
        </w:rPr>
        <w:t>
      Р2 – количество выявленных незначительных нарушений;</w:t>
      </w:r>
    </w:p>
    <w:bookmarkEnd w:id="47"/>
    <w:bookmarkStart w:name="z55" w:id="48"/>
    <w:p>
      <w:pPr>
        <w:spacing w:after="0"/>
        <w:ind w:left="0"/>
        <w:jc w:val="both"/>
      </w:pPr>
      <w:r>
        <w:rPr>
          <w:rFonts w:ascii="Times New Roman"/>
          <w:b w:val="false"/>
          <w:i w:val="false"/>
          <w:color w:val="000000"/>
          <w:sz w:val="28"/>
        </w:rPr>
        <w:t>
      Общий показатель степени риска (Р)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48"/>
    <w:bookmarkStart w:name="z56" w:id="49"/>
    <w:p>
      <w:pPr>
        <w:spacing w:after="0"/>
        <w:ind w:left="0"/>
        <w:jc w:val="both"/>
      </w:pPr>
      <w:r>
        <w:rPr>
          <w:rFonts w:ascii="Times New Roman"/>
          <w:b w:val="false"/>
          <w:i w:val="false"/>
          <w:color w:val="000000"/>
          <w:sz w:val="28"/>
        </w:rPr>
        <w:t>
      Р = Р</w:t>
      </w:r>
      <w:r>
        <w:rPr>
          <w:rFonts w:ascii="Times New Roman"/>
          <w:b w:val="false"/>
          <w:i w:val="false"/>
          <w:color w:val="000000"/>
          <w:vertAlign w:val="subscript"/>
        </w:rPr>
        <w:t>з</w:t>
      </w:r>
      <w:r>
        <w:rPr>
          <w:rFonts w:ascii="Times New Roman"/>
          <w:b w:val="false"/>
          <w:i w:val="false"/>
          <w:color w:val="000000"/>
          <w:sz w:val="28"/>
        </w:rPr>
        <w:t xml:space="preserve"> + Р</w:t>
      </w:r>
      <w:r>
        <w:rPr>
          <w:rFonts w:ascii="Times New Roman"/>
          <w:b w:val="false"/>
          <w:i w:val="false"/>
          <w:color w:val="000000"/>
          <w:vertAlign w:val="subscript"/>
        </w:rPr>
        <w:t>н</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где:</w:t>
      </w:r>
    </w:p>
    <w:bookmarkEnd w:id="50"/>
    <w:bookmarkStart w:name="z58" w:id="51"/>
    <w:p>
      <w:pPr>
        <w:spacing w:after="0"/>
        <w:ind w:left="0"/>
        <w:jc w:val="both"/>
      </w:pPr>
      <w:r>
        <w:rPr>
          <w:rFonts w:ascii="Times New Roman"/>
          <w:b w:val="false"/>
          <w:i w:val="false"/>
          <w:color w:val="000000"/>
          <w:sz w:val="28"/>
        </w:rPr>
        <w:t>
      Р – общий показатель степени риска;</w:t>
      </w:r>
    </w:p>
    <w:bookmarkEnd w:id="51"/>
    <w:bookmarkStart w:name="z59" w:id="5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2"/>
    <w:bookmarkStart w:name="z60" w:id="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53"/>
    <w:bookmarkStart w:name="z61" w:id="54"/>
    <w:p>
      <w:pPr>
        <w:spacing w:after="0"/>
        <w:ind w:left="0"/>
        <w:jc w:val="both"/>
      </w:pPr>
      <w:r>
        <w:rPr>
          <w:rFonts w:ascii="Times New Roman"/>
          <w:b w:val="false"/>
          <w:i w:val="false"/>
          <w:color w:val="000000"/>
          <w:sz w:val="28"/>
        </w:rPr>
        <w:t>
      9.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w:t>
      </w:r>
    </w:p>
    <w:bookmarkEnd w:id="54"/>
    <w:bookmarkStart w:name="z62" w:id="55"/>
    <w:p>
      <w:pPr>
        <w:spacing w:after="0"/>
        <w:ind w:left="0"/>
        <w:jc w:val="both"/>
      </w:pPr>
      <w:r>
        <w:rPr>
          <w:rFonts w:ascii="Times New Roman"/>
          <w:b w:val="false"/>
          <w:i w:val="false"/>
          <w:color w:val="000000"/>
          <w:sz w:val="28"/>
        </w:rPr>
        <w:t>
      10. Списки проведения профилактического контроля с посещением субъекта (объекта) контроля составляются с учетом приоритетности субъектов (объектов) контроля с наибольшим показателем степени риска по субъективным критериям.</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земельных</w:t>
            </w:r>
            <w:r>
              <w:br/>
            </w:r>
            <w:r>
              <w:rPr>
                <w:rFonts w:ascii="Times New Roman"/>
                <w:b w:val="false"/>
                <w:i w:val="false"/>
                <w:color w:val="000000"/>
                <w:sz w:val="20"/>
              </w:rPr>
              <w:t>правоотношений за законностью</w:t>
            </w:r>
            <w:r>
              <w:br/>
            </w:r>
            <w:r>
              <w:rPr>
                <w:rFonts w:ascii="Times New Roman"/>
                <w:b w:val="false"/>
                <w:i w:val="false"/>
                <w:color w:val="000000"/>
                <w:sz w:val="20"/>
              </w:rPr>
              <w:t>принятых решений местных</w:t>
            </w:r>
            <w:r>
              <w:br/>
            </w:r>
            <w:r>
              <w:rPr>
                <w:rFonts w:ascii="Times New Roman"/>
                <w:b w:val="false"/>
                <w:i w:val="false"/>
                <w:color w:val="000000"/>
                <w:sz w:val="20"/>
              </w:rPr>
              <w:t>исполнительных органов</w:t>
            </w:r>
          </w:p>
        </w:tc>
      </w:tr>
    </w:tbl>
    <w:bookmarkStart w:name="z64" w:id="56"/>
    <w:p>
      <w:pPr>
        <w:spacing w:after="0"/>
        <w:ind w:left="0"/>
        <w:jc w:val="left"/>
      </w:pPr>
      <w:r>
        <w:rPr>
          <w:rFonts w:ascii="Times New Roman"/>
          <w:b/>
          <w:i w:val="false"/>
          <w:color w:val="000000"/>
        </w:rPr>
        <w:t xml:space="preserve"> Субъективные критерии оценки степени риска в области земельных правоотношений за законностью принятых решений местных исполнительных органов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внеплановых проверок и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(аукционах) и конкурсах,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утвержденного землеустроительного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на земельный участок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p>
          <w:p>
            <w:pPr>
              <w:spacing w:after="20"/>
              <w:ind w:left="20"/>
              <w:jc w:val="both"/>
            </w:pPr>
            <w:r>
              <w:rPr>
                <w:rFonts w:ascii="Times New Roman"/>
                <w:b w:val="false"/>
                <w:i w:val="false"/>
                <w:color w:val="000000"/>
                <w:sz w:val="20"/>
              </w:rPr>
              <w:t>
для выпаса скота населения и сенокошения;</w:t>
            </w:r>
          </w:p>
          <w:p>
            <w:pPr>
              <w:spacing w:after="20"/>
              <w:ind w:left="20"/>
              <w:jc w:val="both"/>
            </w:pPr>
            <w:r>
              <w:rPr>
                <w:rFonts w:ascii="Times New Roman"/>
                <w:b w:val="false"/>
                <w:i w:val="false"/>
                <w:color w:val="000000"/>
                <w:sz w:val="20"/>
              </w:rPr>
              <w:t>
государственным землепользователям;</w:t>
            </w:r>
          </w:p>
          <w:p>
            <w:pPr>
              <w:spacing w:after="20"/>
              <w:ind w:left="20"/>
              <w:jc w:val="both"/>
            </w:pPr>
            <w:r>
              <w:rPr>
                <w:rFonts w:ascii="Times New Roman"/>
                <w:b w:val="false"/>
                <w:i w:val="false"/>
                <w:color w:val="000000"/>
                <w:sz w:val="20"/>
              </w:rPr>
              <w:t>
для ведения огородничества;</w:t>
            </w:r>
          </w:p>
          <w:p>
            <w:pPr>
              <w:spacing w:after="20"/>
              <w:ind w:left="20"/>
              <w:jc w:val="both"/>
            </w:pPr>
            <w:r>
              <w:rPr>
                <w:rFonts w:ascii="Times New Roman"/>
                <w:b w:val="false"/>
                <w:i w:val="false"/>
                <w:color w:val="000000"/>
                <w:sz w:val="20"/>
              </w:rPr>
              <w:t>
в виде служебных земельных наделов;</w:t>
            </w:r>
          </w:p>
          <w:p>
            <w:pPr>
              <w:spacing w:after="20"/>
              <w:ind w:left="20"/>
              <w:jc w:val="both"/>
            </w:pPr>
            <w:r>
              <w:rPr>
                <w:rFonts w:ascii="Times New Roman"/>
                <w:b w:val="false"/>
                <w:i w:val="false"/>
                <w:color w:val="000000"/>
                <w:sz w:val="20"/>
              </w:rPr>
              <w:t>
на период строительства дорог общего пользования, объектов государственной собственности и социально-культурного назначения;</w:t>
            </w:r>
          </w:p>
          <w:p>
            <w:pPr>
              <w:spacing w:after="20"/>
              <w:ind w:left="20"/>
              <w:jc w:val="both"/>
            </w:pPr>
            <w:r>
              <w:rPr>
                <w:rFonts w:ascii="Times New Roman"/>
                <w:b w:val="false"/>
                <w:i w:val="false"/>
                <w:color w:val="000000"/>
                <w:sz w:val="20"/>
              </w:rPr>
              <w:t>
при восстановлении деградированных и нарушенных земель;</w:t>
            </w:r>
          </w:p>
          <w:p>
            <w:pPr>
              <w:spacing w:after="20"/>
              <w:ind w:left="20"/>
              <w:jc w:val="both"/>
            </w:pPr>
            <w:r>
              <w:rPr>
                <w:rFonts w:ascii="Times New Roman"/>
                <w:b w:val="false"/>
                <w:i w:val="false"/>
                <w:color w:val="000000"/>
                <w:sz w:val="20"/>
              </w:rPr>
              <w:t>
на срок действия договора государственно-частного партнерства, в том числе договора концессии;</w:t>
            </w:r>
          </w:p>
          <w:p>
            <w:pPr>
              <w:spacing w:after="20"/>
              <w:ind w:left="20"/>
              <w:jc w:val="both"/>
            </w:pPr>
            <w:r>
              <w:rPr>
                <w:rFonts w:ascii="Times New Roman"/>
                <w:b w:val="false"/>
                <w:i w:val="false"/>
                <w:color w:val="000000"/>
                <w:sz w:val="20"/>
              </w:rPr>
              <w:t>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pPr>
              <w:spacing w:after="20"/>
              <w:ind w:left="20"/>
              <w:jc w:val="both"/>
            </w:pPr>
            <w:r>
              <w:rPr>
                <w:rFonts w:ascii="Times New Roman"/>
                <w:b w:val="false"/>
                <w:i w:val="false"/>
                <w:color w:val="000000"/>
                <w:sz w:val="20"/>
              </w:rPr>
              <w:t>
для объектов культовых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Непредоставление права частной собственности или землепользование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об изменении целевого назначения земельного участка (до тринадцати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утверждение землеустроительного проекта (в течение четырех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предложения о вынесении свободного земельного участка на торги (аукцион) (в течение двадцати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объявления о проведении торгов (аукционов) на веб-портале реестра государственного имущества (не менее чем за пятнадцать календарных дней до проведения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переводе сельскохозяйственных угодий из одного вида в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(аукционов) и конкурсов (не позднее девяноста календарных дней со дня принятия решения об отказе в предоставлении права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внесение материалов в земельную комиссию (в течение семи рабочих дней с момента поступления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предоставление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"Правительство для граждан",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согласующими органами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заключения об отказе в предоставлении права на земельный участок и направление его заявителю (в течение трех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структурным подразделением местного исполнительного органа, осуществляющим функции в сфере архитектуры и градостроительства,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о выборе земельного участка с последующим направлением в земельную комиссию для рассмотрения и подготовки заключения земельной комиссии с соблюдением срока выбора земельного участка (в течение десяти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(направление) заявителю копию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утверждение состава земельной комиссии местными исполнительными органами области, города республиканского значения, столицы, района, города областного 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заседания земельной комиссии средствами аудио-, видеозаписи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протокольных решений земельной комиссии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 (до истечения тридцати календарных дней со дня первой публикации извещения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информации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(ежеквартально)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соответствующих запросов по земельным участкам, предоставленным для строительства объектов, сроки освоения которых истекли либо истекают (до конца соответствующего квартала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земельных участков, предназначенных для строительства объектов,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установленного срока по заключению договора аренды на новый срок (в срок, указанный в договоре аренды, если в договоре такой срок не указан, то в трехмесячный срок до окончания срока действия договора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или обращения, по рассмотрению которой субъект контроля привлечен государственным инспектором по использованию и охране земель к административной ответственности в случае нарушения земельного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или обращения, по рассмотрению которой субъекту контроля государственным инспектором по использованию и охране земель выписано предписание по устранению выявленных нарушений земельного законодательства Республики Казахстан, без привлечения к административной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133</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2023 года № 254</w:t>
            </w:r>
          </w:p>
        </w:tc>
      </w:tr>
    </w:tbl>
    <w:bookmarkStart w:name="z75" w:id="57"/>
    <w:p>
      <w:pPr>
        <w:spacing w:after="0"/>
        <w:ind w:left="0"/>
        <w:jc w:val="left"/>
      </w:pPr>
      <w:r>
        <w:rPr>
          <w:rFonts w:ascii="Times New Roman"/>
          <w:b/>
          <w:i w:val="false"/>
          <w:color w:val="000000"/>
        </w:rPr>
        <w:t xml:space="preserve"> Проверочный лист в области земельных правоотношений за законностью принятых решений местных исполнительных органов</w:t>
      </w:r>
    </w:p>
    <w:bookmarkEnd w:id="57"/>
    <w:p>
      <w:pPr>
        <w:spacing w:after="0"/>
        <w:ind w:left="0"/>
        <w:jc w:val="both"/>
      </w:pPr>
      <w:bookmarkStart w:name="z76" w:id="58"/>
      <w:r>
        <w:rPr>
          <w:rFonts w:ascii="Times New Roman"/>
          <w:b w:val="false"/>
          <w:i w:val="false"/>
          <w:color w:val="000000"/>
          <w:sz w:val="28"/>
        </w:rPr>
        <w:t>
      Государственный орган, назначивший проверку/ профилактический контроль</w:t>
      </w:r>
    </w:p>
    <w:bookmarkEnd w:id="58"/>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субъекта (объекта) контроля 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изменение целевого назначения земельных участков или права аренды земельных участков в соответствии с генеральными планами, проектами детальной планировки и застройки (при наличии этих проектов) и проектами земельно-хозяйственного устройства территории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на торгах (аукционах) и конкурсах,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заявлений физических или юридических лиц о предоставлении соответствующего права на земельный участок (до пятнадцати рабочих дней с момента поступления заявления, за исключением случаев испрашивания земельных участков для нужд обороны и национальной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на основании положительного заключения земельной комиссии и утвержденного землеустроительного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об отказе в предоставлении прав на земельные участки (в течение трех рабочих дней с даты вынесения отрицательного заключения земельной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на земельный участок (в течение трех рабочих дней с момента поступления утвержденного землеустроительного проекта и положительного заключения земельной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только на земельные участки, которые могут находиться в частной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принудительном отчуждении земельного участка для государственных нужд только в исключительных случаях (международные обязательства, вытекающие из международных договоров, ратифицированных Республикой Казахстан;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обнаружение и разработка месторождения полезных ископаемых;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 удовлетворение нужд населения в пастбищных угодьях для выпаса сельскохозяйственных животных личного подворья;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 исполнение генеральных планов населенных пунктов в части строительства объектов, подпадающих под перечень исключительных случаев,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бесплатно в частную собственность в пределах установленных норм предоставления земельных участков, а также недопущение повторного бесплатного предоставления земельных участков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для индивидуального жилищного строительства – 0,10 гектара; для садоводства, а также дачного строительства – 0,12 гектара)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временного безвозмездного землепользования для указанных целей сроком не выше пяти лет (для отгонного животноводства (сезонные пастбища);</w:t>
            </w:r>
          </w:p>
          <w:p>
            <w:pPr>
              <w:spacing w:after="20"/>
              <w:ind w:left="20"/>
              <w:jc w:val="both"/>
            </w:pPr>
            <w:r>
              <w:rPr>
                <w:rFonts w:ascii="Times New Roman"/>
                <w:b w:val="false"/>
                <w:i w:val="false"/>
                <w:color w:val="000000"/>
                <w:sz w:val="20"/>
              </w:rPr>
              <w:t>
для выпаса скота населения и сенокошения;</w:t>
            </w:r>
          </w:p>
          <w:p>
            <w:pPr>
              <w:spacing w:after="20"/>
              <w:ind w:left="20"/>
              <w:jc w:val="both"/>
            </w:pPr>
            <w:r>
              <w:rPr>
                <w:rFonts w:ascii="Times New Roman"/>
                <w:b w:val="false"/>
                <w:i w:val="false"/>
                <w:color w:val="000000"/>
                <w:sz w:val="20"/>
              </w:rPr>
              <w:t>
государственным землепользователям;</w:t>
            </w:r>
          </w:p>
          <w:p>
            <w:pPr>
              <w:spacing w:after="20"/>
              <w:ind w:left="20"/>
              <w:jc w:val="both"/>
            </w:pPr>
            <w:r>
              <w:rPr>
                <w:rFonts w:ascii="Times New Roman"/>
                <w:b w:val="false"/>
                <w:i w:val="false"/>
                <w:color w:val="000000"/>
                <w:sz w:val="20"/>
              </w:rPr>
              <w:t>
для ведения огородничества;</w:t>
            </w:r>
          </w:p>
          <w:p>
            <w:pPr>
              <w:spacing w:after="20"/>
              <w:ind w:left="20"/>
              <w:jc w:val="both"/>
            </w:pPr>
            <w:r>
              <w:rPr>
                <w:rFonts w:ascii="Times New Roman"/>
                <w:b w:val="false"/>
                <w:i w:val="false"/>
                <w:color w:val="000000"/>
                <w:sz w:val="20"/>
              </w:rPr>
              <w:t>
в виде служебных земельных наделов;</w:t>
            </w:r>
          </w:p>
          <w:p>
            <w:pPr>
              <w:spacing w:after="20"/>
              <w:ind w:left="20"/>
              <w:jc w:val="both"/>
            </w:pPr>
            <w:r>
              <w:rPr>
                <w:rFonts w:ascii="Times New Roman"/>
                <w:b w:val="false"/>
                <w:i w:val="false"/>
                <w:color w:val="000000"/>
                <w:sz w:val="20"/>
              </w:rPr>
              <w:t>
на период строительства дорог общего пользования, объектов государственной собственности и социально-культурного назначения;</w:t>
            </w:r>
          </w:p>
          <w:p>
            <w:pPr>
              <w:spacing w:after="20"/>
              <w:ind w:left="20"/>
              <w:jc w:val="both"/>
            </w:pPr>
            <w:r>
              <w:rPr>
                <w:rFonts w:ascii="Times New Roman"/>
                <w:b w:val="false"/>
                <w:i w:val="false"/>
                <w:color w:val="000000"/>
                <w:sz w:val="20"/>
              </w:rPr>
              <w:t>
при восстановлении деградированных и нарушенных земель;</w:t>
            </w:r>
          </w:p>
          <w:p>
            <w:pPr>
              <w:spacing w:after="20"/>
              <w:ind w:left="20"/>
              <w:jc w:val="both"/>
            </w:pPr>
            <w:r>
              <w:rPr>
                <w:rFonts w:ascii="Times New Roman"/>
                <w:b w:val="false"/>
                <w:i w:val="false"/>
                <w:color w:val="000000"/>
                <w:sz w:val="20"/>
              </w:rPr>
              <w:t>
на срок действия договора государственно-частного партнерства, в том числе договора концессии;</w:t>
            </w:r>
          </w:p>
          <w:p>
            <w:pPr>
              <w:spacing w:after="20"/>
              <w:ind w:left="20"/>
              <w:jc w:val="both"/>
            </w:pPr>
            <w:r>
              <w:rPr>
                <w:rFonts w:ascii="Times New Roman"/>
                <w:b w:val="false"/>
                <w:i w:val="false"/>
                <w:color w:val="000000"/>
                <w:sz w:val="20"/>
              </w:rPr>
              <w:t>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w:t>
            </w:r>
          </w:p>
          <w:p>
            <w:pPr>
              <w:spacing w:after="20"/>
              <w:ind w:left="20"/>
              <w:jc w:val="both"/>
            </w:pPr>
            <w:r>
              <w:rPr>
                <w:rFonts w:ascii="Times New Roman"/>
                <w:b w:val="false"/>
                <w:i w:val="false"/>
                <w:color w:val="000000"/>
                <w:sz w:val="20"/>
              </w:rPr>
              <w:t>
для объектов культовых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права частной собственности или землепользование на земли сельскохозяйственного назначения иностранцам и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кандасам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 на земельные участки в пределах своей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принятия решения об отказе в предоставлении прав на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права частной собственности на земельный участок (в течение пяти рабочих дней со дня подачи землепользователем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об изменении целевого назначения земельного участка (до тринадцати рабочих дней с момента поступления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утверждение землеустроительного проекта (в течение четырех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наличии земельных участков для строительства индивидуальных жилых домов, специального земельного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предложения о вынесении свободного земельного участка на торги (аукцион) (в течение двадцати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объявления о проведении торгов (аукционов) на веб-портале реестра государственного имущества (не менее чем за пятнадцать календарных дней до проведения торгов)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переводе сельскохозяйственных угодий из одного вида в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интернет-ресурсе местного исполнительного органа и интернет-ресурсе уполномоченного органа области, города республиканского значения, столицы, района, города областного значения – ежемесячно,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(аукционов) и конкурсов (не позднее девяноста календарных дней со дня принятия решения об отказе в предоставлении права на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письменного отказа в рассмотрении заявления о предоставлении права на земельный участок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(в течение двух рабочих дней с момента поступления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и внесение материалов в земельную комиссию (в течение семи рабочих дней с момента поступления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заключения земельной комиссии с момента передачи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предоставление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 (в течение двух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заявителю одного экземпляра положительного заключения земельной комиссии для подготовки им землеустроительного проекта (в течение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акта выбора земельного участка с его ситуационной схемой, архитектурно-планировочного задания, опросного листа для получения технических условий, топографии и направление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"Правительство для граждан",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 (в течение семи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согласующими органами соответствующего заключения о возможности предоставления земельного участка по заявленному целевому назначению (в течение двенадцати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структурным подразделением местного исполнительного органа, осуществляющим функции в сфере архитектуры и градостроительства заключения об отказе в предоставлении права на земельный участок и направление его заявителю (в течение трех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структурным подразделением местного исполнительного органа, осуществляющим функции в сфере архитектуры и градостроительства окончательного акта выбора земельного участка с приложением архитектурно-планировочного задания, технических условий на подключение к инженерным сетям и топографии (в течение пяти рабочих дней после поступления положительных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копии решения, земельно-кадастрового плана в уполномоченный орган области, города республиканского значения, столицы, района, города областного значения для подготовки договора временного землепользования (в течение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о выборе земельного участка с последующим направлением в земельную комиссию для рассмотрения и подготовки заключения земельной комиссии с соблюдением срока выбора земельного участка (в течение десяти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(направление) заявителю копию решения о предоставлении либо об отказе в предоставлении соответствующих прав на земельные участки (в течение пяти рабочих дней с момента принятия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купли-продажи или временного возмездного (безвозмездного) землепользования (не позднее десяти рабочих дней со дня принятия решения о предоставлении права на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утверждение состава земельной комиссии местными исполнительными органами области, города республиканского значения, столицы, района, города областного значения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Фиксирование заседания земельной комиссии средствами аудио-, видеозаписи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протокольных решений земельной комиссии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 (до истечения тридцати календарных дней со дня первой публикации извещения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информации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(ежеквартально)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соответствующих запросов по земельным участкам, предоставленным для строительства объектов, сроки освоения которых истекли либо истекают (до конца соответствующего квартала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земельных участков, предназначенных для строительства объектов,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установленного срока по заключению договора аренды на новый срок (в срок, указанный в договоре аренды, если в договоре такой срок не указан, то в трехмесячный срок до окончания срока действия договора аренды)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59"/>
      <w:r>
        <w:rPr>
          <w:rFonts w:ascii="Times New Roman"/>
          <w:b w:val="false"/>
          <w:i w:val="false"/>
          <w:color w:val="000000"/>
          <w:sz w:val="28"/>
        </w:rPr>
        <w:t>
      Должностное (ые) лицо (а) ___________________________ ____________</w:t>
      </w:r>
    </w:p>
    <w:bookmarkEnd w:id="5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 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