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d809" w14:textId="57ed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10 июля 2023 года № 752. Зарегистрирован в Министерстве юстиции Республики Казахстан 11 июля 2023 года № 33057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ноября 2014 года № 494 "Об утверждении Правил составления Единой бюджетной классификации Республики Казахстан" (зарегистрирован в Реестре государственной регистрации нормативных правовых актов под № 9892)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Единой бюджетной классификации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8" w:id="3"/>
    <w:p>
      <w:pPr>
        <w:spacing w:after="0"/>
        <w:ind w:left="0"/>
        <w:jc w:val="both"/>
      </w:pPr>
      <w:r>
        <w:rPr>
          <w:rFonts w:ascii="Times New Roman"/>
          <w:b w:val="false"/>
          <w:i w:val="false"/>
          <w:color w:val="000000"/>
          <w:sz w:val="28"/>
        </w:rPr>
        <w:t>
      "1) в зависимости от содержания на:</w:t>
      </w:r>
    </w:p>
    <w:bookmarkEnd w:id="3"/>
    <w:bookmarkStart w:name="z9" w:id="4"/>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4"/>
    <w:bookmarkStart w:name="z10" w:id="5"/>
    <w:p>
      <w:pPr>
        <w:spacing w:after="0"/>
        <w:ind w:left="0"/>
        <w:jc w:val="both"/>
      </w:pPr>
      <w:r>
        <w:rPr>
          <w:rFonts w:ascii="Times New Roman"/>
          <w:b w:val="false"/>
          <w:i w:val="false"/>
          <w:color w:val="000000"/>
          <w:sz w:val="28"/>
        </w:rPr>
        <w:t>
      предоставление трансфертов и бюджетных субсидий;</w:t>
      </w:r>
    </w:p>
    <w:bookmarkEnd w:id="5"/>
    <w:bookmarkStart w:name="z11" w:id="6"/>
    <w:p>
      <w:pPr>
        <w:spacing w:after="0"/>
        <w:ind w:left="0"/>
        <w:jc w:val="both"/>
      </w:pPr>
      <w:r>
        <w:rPr>
          <w:rFonts w:ascii="Times New Roman"/>
          <w:b w:val="false"/>
          <w:i w:val="false"/>
          <w:color w:val="000000"/>
          <w:sz w:val="28"/>
        </w:rPr>
        <w:t>
      предоставление бюджетных кредитов;</w:t>
      </w:r>
    </w:p>
    <w:bookmarkEnd w:id="6"/>
    <w:bookmarkStart w:name="z12" w:id="7"/>
    <w:p>
      <w:pPr>
        <w:spacing w:after="0"/>
        <w:ind w:left="0"/>
        <w:jc w:val="both"/>
      </w:pPr>
      <w:r>
        <w:rPr>
          <w:rFonts w:ascii="Times New Roman"/>
          <w:b w:val="false"/>
          <w:i w:val="false"/>
          <w:color w:val="000000"/>
          <w:sz w:val="28"/>
        </w:rPr>
        <w:t>
      осуществление бюджетных инвестиций;</w:t>
      </w:r>
    </w:p>
    <w:bookmarkEnd w:id="7"/>
    <w:bookmarkStart w:name="z13" w:id="8"/>
    <w:p>
      <w:pPr>
        <w:spacing w:after="0"/>
        <w:ind w:left="0"/>
        <w:jc w:val="both"/>
      </w:pPr>
      <w:r>
        <w:rPr>
          <w:rFonts w:ascii="Times New Roman"/>
          <w:b w:val="false"/>
          <w:i w:val="false"/>
          <w:color w:val="000000"/>
          <w:sz w:val="28"/>
        </w:rPr>
        <w:t>
      осуществление капитальных расходов;</w:t>
      </w:r>
    </w:p>
    <w:bookmarkEnd w:id="8"/>
    <w:bookmarkStart w:name="z14" w:id="9"/>
    <w:p>
      <w:pPr>
        <w:spacing w:after="0"/>
        <w:ind w:left="0"/>
        <w:jc w:val="both"/>
      </w:pPr>
      <w:r>
        <w:rPr>
          <w:rFonts w:ascii="Times New Roman"/>
          <w:b w:val="false"/>
          <w:i w:val="false"/>
          <w:color w:val="000000"/>
          <w:sz w:val="28"/>
        </w:rPr>
        <w:t>
      выполнение обязательств государства;</w:t>
      </w:r>
    </w:p>
    <w:bookmarkEnd w:id="9"/>
    <w:bookmarkStart w:name="z15" w:id="10"/>
    <w:p>
      <w:pPr>
        <w:spacing w:after="0"/>
        <w:ind w:left="0"/>
        <w:jc w:val="both"/>
      </w:pPr>
      <w:r>
        <w:rPr>
          <w:rFonts w:ascii="Times New Roman"/>
          <w:b w:val="false"/>
          <w:i w:val="false"/>
          <w:color w:val="000000"/>
          <w:sz w:val="28"/>
        </w:rPr>
        <w:t>
      вложение целевого вклада;</w:t>
      </w:r>
    </w:p>
    <w:bookmarkEnd w:id="10"/>
    <w:bookmarkStart w:name="z16" w:id="11"/>
    <w:p>
      <w:pPr>
        <w:spacing w:after="0"/>
        <w:ind w:left="0"/>
        <w:jc w:val="both"/>
      </w:pPr>
      <w:r>
        <w:rPr>
          <w:rFonts w:ascii="Times New Roman"/>
          <w:b w:val="false"/>
          <w:i w:val="false"/>
          <w:color w:val="000000"/>
          <w:sz w:val="28"/>
        </w:rPr>
        <w:t>
      целевое перечисление;</w:t>
      </w:r>
    </w:p>
    <w:bookmarkEnd w:id="11"/>
    <w:bookmarkStart w:name="z17" w:id="12"/>
    <w:p>
      <w:pPr>
        <w:spacing w:after="0"/>
        <w:ind w:left="0"/>
        <w:jc w:val="both"/>
      </w:pPr>
      <w:r>
        <w:rPr>
          <w:rFonts w:ascii="Times New Roman"/>
          <w:b w:val="false"/>
          <w:i w:val="false"/>
          <w:color w:val="000000"/>
          <w:sz w:val="28"/>
        </w:rPr>
        <w:t>
      целевой взнос.</w:t>
      </w:r>
    </w:p>
    <w:bookmarkEnd w:id="12"/>
    <w:bookmarkStart w:name="z18" w:id="13"/>
    <w:p>
      <w:pPr>
        <w:spacing w:after="0"/>
        <w:ind w:left="0"/>
        <w:jc w:val="both"/>
      </w:pPr>
      <w:r>
        <w:rPr>
          <w:rFonts w:ascii="Times New Roman"/>
          <w:b w:val="false"/>
          <w:i w:val="false"/>
          <w:color w:val="000000"/>
          <w:sz w:val="28"/>
        </w:rPr>
        <w:t>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
    <w:bookmarkEnd w:id="13"/>
    <w:bookmarkStart w:name="z19"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w:t>
      </w:r>
    </w:p>
    <w:bookmarkEnd w:id="14"/>
    <w:bookmarkStart w:name="z2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15"/>
    <w:bookmarkStart w:name="z21"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3" w:id="17"/>
    <w:p>
      <w:pPr>
        <w:spacing w:after="0"/>
        <w:ind w:left="0"/>
        <w:jc w:val="both"/>
      </w:pPr>
      <w:r>
        <w:rPr>
          <w:rFonts w:ascii="Times New Roman"/>
          <w:b w:val="false"/>
          <w:i w:val="false"/>
          <w:color w:val="000000"/>
          <w:sz w:val="28"/>
        </w:rPr>
        <w:t>
      "11) проекты бюджетных программ по целевым трансфертам и/или кредитам из вышестоящего бюджета,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7"/>
    <w:bookmarkStart w:name="z24" w:id="18"/>
    <w:p>
      <w:pPr>
        <w:spacing w:after="0"/>
        <w:ind w:left="0"/>
        <w:jc w:val="both"/>
      </w:pPr>
      <w:r>
        <w:rPr>
          <w:rFonts w:ascii="Times New Roman"/>
          <w:b w:val="false"/>
          <w:i w:val="false"/>
          <w:color w:val="000000"/>
          <w:sz w:val="28"/>
        </w:rPr>
        <w:t>
      12) проекты бюджетных программ по целевым трансфертам и/или кредитам из вышестоящего бюджета,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8"/>
    <w:bookmarkStart w:name="z25" w:id="19"/>
    <w:p>
      <w:pPr>
        <w:spacing w:after="0"/>
        <w:ind w:left="0"/>
        <w:jc w:val="both"/>
      </w:pPr>
      <w:r>
        <w:rPr>
          <w:rFonts w:ascii="Times New Roman"/>
          <w:b w:val="false"/>
          <w:i w:val="false"/>
          <w:color w:val="000000"/>
          <w:sz w:val="28"/>
        </w:rPr>
        <w:t>
      13) проекты бюджетных программ по целевым трансфертам и/или кредитам из вышестоящего бюджета,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"38)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 в соответствии с законодательством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 </w:t>
      </w:r>
    </w:p>
    <w:bookmarkStart w:name="z30" w:id="21"/>
    <w:p>
      <w:pPr>
        <w:spacing w:after="0"/>
        <w:ind w:left="0"/>
        <w:jc w:val="both"/>
      </w:pPr>
      <w:r>
        <w:rPr>
          <w:rFonts w:ascii="Times New Roman"/>
          <w:b w:val="false"/>
          <w:i w:val="false"/>
          <w:color w:val="000000"/>
          <w:sz w:val="28"/>
        </w:rPr>
        <w:t>
      "24. Форма 02-114 (</w:t>
      </w:r>
      <w:r>
        <w:rPr>
          <w:rFonts w:ascii="Times New Roman"/>
          <w:b w:val="false"/>
          <w:i w:val="false"/>
          <w:color w:val="000000"/>
          <w:sz w:val="28"/>
        </w:rPr>
        <w:t>приложение 19</w:t>
      </w:r>
      <w:r>
        <w:rPr>
          <w:rFonts w:ascii="Times New Roman"/>
          <w:b w:val="false"/>
          <w:i w:val="false"/>
          <w:color w:val="000000"/>
          <w:sz w:val="28"/>
        </w:rPr>
        <w:t>) предназначена для расчета расходов на обязательные профессиональные пенсионные взносы.</w:t>
      </w:r>
    </w:p>
    <w:bookmarkEnd w:id="21"/>
    <w:bookmarkStart w:name="z31" w:id="22"/>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w:t>
      </w:r>
    </w:p>
    <w:bookmarkStart w:name="z33" w:id="23"/>
    <w:p>
      <w:pPr>
        <w:spacing w:after="0"/>
        <w:ind w:left="0"/>
        <w:jc w:val="both"/>
      </w:pPr>
      <w:r>
        <w:rPr>
          <w:rFonts w:ascii="Times New Roman"/>
          <w:b w:val="false"/>
          <w:i w:val="false"/>
          <w:color w:val="000000"/>
          <w:sz w:val="28"/>
        </w:rPr>
        <w:t>
      25. Форма 01-116 (</w:t>
      </w:r>
      <w:r>
        <w:rPr>
          <w:rFonts w:ascii="Times New Roman"/>
          <w:b w:val="false"/>
          <w:i w:val="false"/>
          <w:color w:val="000000"/>
          <w:sz w:val="28"/>
        </w:rPr>
        <w:t>приложение 20</w:t>
      </w:r>
      <w:r>
        <w:rPr>
          <w:rFonts w:ascii="Times New Roman"/>
          <w:b w:val="false"/>
          <w:i w:val="false"/>
          <w:color w:val="000000"/>
          <w:sz w:val="28"/>
        </w:rPr>
        <w:t>) предназначена для расчета расходов на обязательные пенсионные взносы работодателей.</w:t>
      </w:r>
    </w:p>
    <w:bookmarkEnd w:id="23"/>
    <w:bookmarkStart w:name="z34" w:id="24"/>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применяется также для расчета расходов на обязательные пенсионные взносы работодателей по специфике 135 "Взносы работодателей по техническому персоналу".";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"27. Форма 01-122 (</w:t>
      </w:r>
      <w:r>
        <w:rPr>
          <w:rFonts w:ascii="Times New Roman"/>
          <w:b w:val="false"/>
          <w:i w:val="false"/>
          <w:color w:val="000000"/>
          <w:sz w:val="28"/>
        </w:rPr>
        <w:t>приложение 22</w:t>
      </w:r>
      <w:r>
        <w:rPr>
          <w:rFonts w:ascii="Times New Roman"/>
          <w:b w:val="false"/>
          <w:i w:val="false"/>
          <w:color w:val="000000"/>
          <w:sz w:val="28"/>
        </w:rPr>
        <w:t>) предназначена для расчета расходов на уплату социальных отчислений в Государственный фонд социального страхования.</w:t>
      </w:r>
    </w:p>
    <w:bookmarkEnd w:id="25"/>
    <w:bookmarkStart w:name="z38" w:id="26"/>
    <w:p>
      <w:pPr>
        <w:spacing w:after="0"/>
        <w:ind w:left="0"/>
        <w:jc w:val="both"/>
      </w:pPr>
      <w:r>
        <w:rPr>
          <w:rFonts w:ascii="Times New Roman"/>
          <w:b w:val="false"/>
          <w:i w:val="false"/>
          <w:color w:val="000000"/>
          <w:sz w:val="28"/>
        </w:rPr>
        <w:t xml:space="preserve">
      При расчете суммы социальных отчислений на планируемый год необходимо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"31. Форма 01-135 (</w:t>
      </w:r>
      <w:r>
        <w:rPr>
          <w:rFonts w:ascii="Times New Roman"/>
          <w:b w:val="false"/>
          <w:i w:val="false"/>
          <w:color w:val="000000"/>
          <w:sz w:val="28"/>
        </w:rPr>
        <w:t>приложение 27</w:t>
      </w:r>
      <w:r>
        <w:rPr>
          <w:rFonts w:ascii="Times New Roman"/>
          <w:b w:val="false"/>
          <w:i w:val="false"/>
          <w:color w:val="000000"/>
          <w:sz w:val="28"/>
        </w:rPr>
        <w:t xml:space="preserve">) предназначена для расчета расходов на взносы работодателей по техническому персоналу. При расчете необходимо руководствоваться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"47. Расчеты по видам расходов, планируемым по спецификам экономической классификации расходов 133, 154, 155, 156, 157, 158, 163, 164, 165, 166, 167, 211, 212, 221, 321, 322, 323, 331, 332, 339, 341, 359, 361, 411, 412, 417, 418, 419, 421, 422, 423, 429, 431, 432, 433, 434, 435, 441, 451, 511, 512, 513, 514, 519, 521, 531, 541, 611, 612, 621, 711, 712, 713, 714, 715, 721 и 722 составляются в произвольной форме.</w:t>
      </w:r>
    </w:p>
    <w:bookmarkEnd w:id="28"/>
    <w:bookmarkStart w:name="z43" w:id="29"/>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29"/>
    <w:bookmarkStart w:name="z44" w:id="30"/>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30"/>
    <w:bookmarkStart w:name="z45" w:id="31"/>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и социальные отчисления в Государственный фонд социального страхования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31"/>
    <w:bookmarkStart w:name="z46" w:id="32"/>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32"/>
    <w:bookmarkStart w:name="z47" w:id="33"/>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bookmarkEnd w:id="33"/>
    <w:bookmarkStart w:name="z48" w:id="34"/>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34"/>
    <w:bookmarkStart w:name="z49" w:id="35"/>
    <w:p>
      <w:pPr>
        <w:spacing w:after="0"/>
        <w:ind w:left="0"/>
        <w:jc w:val="both"/>
      </w:pPr>
      <w:r>
        <w:rPr>
          <w:rFonts w:ascii="Times New Roman"/>
          <w:b w:val="false"/>
          <w:i w:val="false"/>
          <w:color w:val="000000"/>
          <w:sz w:val="28"/>
        </w:rPr>
        <w:t xml:space="preserve">
      При представлении расчета по специфике 158 "Оплата работ и услуг в сфере информатизации" следует руководствоваться общим перечнем затрат на государственные закупки товаров, работ, услуг в сфере информатизации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"73. Администратор местных бюджетных программ вносит бюджетную заявку в местный уполномоченный орган по государственному планированию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36"/>
    <w:bookmarkStart w:name="z52" w:id="37"/>
    <w:p>
      <w:pPr>
        <w:spacing w:after="0"/>
        <w:ind w:left="0"/>
        <w:jc w:val="both"/>
      </w:pPr>
      <w:r>
        <w:rPr>
          <w:rFonts w:ascii="Times New Roman"/>
          <w:b w:val="false"/>
          <w:i w:val="false"/>
          <w:color w:val="000000"/>
          <w:sz w:val="28"/>
        </w:rPr>
        <w:t xml:space="preserve">
      При наличии информационной системы,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администратор местных бюджетных программ вносит бюджетную заявку посредством информационной системы местного уполномоченного органа по государственному планированию.</w:t>
      </w:r>
    </w:p>
    <w:bookmarkEnd w:id="37"/>
    <w:bookmarkStart w:name="z53" w:id="38"/>
    <w:p>
      <w:pPr>
        <w:spacing w:after="0"/>
        <w:ind w:left="0"/>
        <w:jc w:val="both"/>
      </w:pPr>
      <w:r>
        <w:rPr>
          <w:rFonts w:ascii="Times New Roman"/>
          <w:b w:val="false"/>
          <w:i w:val="false"/>
          <w:color w:val="000000"/>
          <w:sz w:val="28"/>
        </w:rPr>
        <w:t>
      Если администратор бюджетных программ в проекте плана развития государственного органа или проекте изменений и дополнений в план развития государственного органа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bookmarkEnd w:id="38"/>
    <w:bookmarkStart w:name="z54" w:id="39"/>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9"/>
    <w:bookmarkStart w:name="z55"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6"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1"/>
    <w:bookmarkStart w:name="z57" w:id="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2"/>
    <w:bookmarkStart w:name="z58" w:id="4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третьего и тринадцатого пункта 1 настоящего приказа, двадцать четвертого и тридцать первого пункта 2 настоящего приказа, которые вводятся в действие с 1 января 2024 года и подлежат официальному опубликованию.</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