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212f" w14:textId="2e22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30 ноября 2020 года № ҚР ДСМ-226/2020 "Об утверждении правил формирования и ведения регистра"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30 октября 2023 года № 158. Зарегистрирован в Министерстве юстиции Республики Казахстан 31 октября 2023 года № 33590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ҚР ДСМ-226/2020 "Об утверждении правил формирования и ведения регистра" (зарегистрирован в Реестре государственной регистрации нормативных правовых актов под № 21717)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209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регистра, утвержденных приложением к указанному приказу: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формирования и ведения регистра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209 Кодекса Республики Казахстан "О здоровье народа и системе здравоохранения" (далее – Кодекс) и определяют порядок формирования и ведения регистров:";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согласие пациента на сбор и обработку персональных данных оформляется медицинской организацией, направляющей документы пациента для включения в регистр потенциальных реципиентов органов, согласно приложению 1 к настоящим Правилам;";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- изложить в следующей редакции: 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Центр трансплантации или медицинские организации в течение пяти рабочих дней после принятия решения МДГ направляет региональному трансплантационному координатору в электронном виде документы, указанные в пункте 9 настоящих Правил.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Региональный трансплантационный координатор в течение пяти рабочих дней с даты получения документов, указанных в пункте 9 настоящих Правил, формирует электронную заявку в МИСУДР на включение пациента в регистр потенциальных реципиентов.";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Координационный центр в течение одного рабочего дня после включения пациента в регистр потенциальных реципиентов органов (далее – регистр) направляет в УЗ и центр трансплантации (при направлении документов центром трансплантации), лабораторию тканевого типирования, а также региональному трансплантационному координатору уведомление о включении пациента в регистр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Региональный трансплантационный координатор в течение трех рабочих дней со дня получения уведомления о включении пациента в регистр направляет данное уведомление потенциальному реципиенту посредством электронной почты или с использованием иных средств связи.";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- изложить в следующей редакции: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При получении уведомления о включении пациента в регистр, специалист лаборатории тканевого типирования вносит потенциального реципиента почки в график по забору образцов крови для определения HLA-фенотипа и на наличие HLA-антител с кратностью один раз в три месяца. Доставку образцов крови в лаборатории тканевого типирования осуществляет Научно-производственный Центр Трансфузиологии.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Специалист лаборатории тканевого типирования, получив образец крови потенциального реципиента, проводит типирование по системе-HLA, результаты которого вносит в регистр.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УЗ (главные внештатные профильные специалисты) совместно с региональным трансплантационным координатором проводят ежеквартальную сверку лиц, нуждающихся в трансплантации органов (части органа) и (или) тканей (части ткани), в регионе со списком лиц, состоящих в регистре МИСУДР. По результатам сверки УЗ (главные внештатные профильные специалисты) формируют заявки: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включение первичных пациентов в регистр;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исключение из регистра: трансплантированных, умерших, выехавших из региона (сменивших место жительства), отказавшихся от трансплантации, имеющих медицинские противопоказания к трансплантации органов (части органа) и (или) тканей (части ткани);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временное исключение из регистра по медицинским показаниям (улучшение состояния и клинико-лабораторных показателей или выявление временных медицинских противопоказаний к трансплантации по заключению МДГ), временно выехавших из региона (сменивших место жительства) или отказавшихся от трансплантации (по письменному заявлению потенциального реципиента);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изменение статуса пациента из регистра на статус "ургентный" в случаях, когда потенциальному реципиенту по жизненным показаниям требуется срочная трансплантация органов (части органа) и (или) тканей (части ткани), по заключению МДГ.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Актуализированный список лиц, нуждающихся в трансплантации почки, после сверки передают в диализные центры для забора крови с целью определения: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НLА-фенотипа первично включенных пациентов;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лейкоцитарных антител у лиц, состоящих в регистре, с кратностью один раз в три месяца с целью оценки уровня сенсибилизации, выраженной в процентах.";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формирования и ведения регистра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приказу.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регистра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включении пациента в регистр потенциальных реципиентов органов (части органа) и (или) тканей (части ткани)</w:t>
      </w:r>
    </w:p>
    <w:bookmarkEnd w:id="27"/>
    <w:p>
      <w:pPr>
        <w:spacing w:after="0"/>
        <w:ind w:left="0"/>
        <w:jc w:val="both"/>
      </w:pPr>
      <w:bookmarkStart w:name="z42" w:id="28"/>
      <w:r>
        <w:rPr>
          <w:rFonts w:ascii="Times New Roman"/>
          <w:b w:val="false"/>
          <w:i w:val="false"/>
          <w:color w:val="000000"/>
          <w:sz w:val="28"/>
        </w:rPr>
        <w:t>
      Гражданин (гражданка) ___________________________________________________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полностью)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жительство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Электронный адрес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Координационного центра по трансплантации)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сообщает Вам, что "___" ___________ 20 ___ г. на основании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мультидисциплинарной группы (при медицинской организации или центре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трансплантации - нужное подчеркнуть) и приказа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"____" __________ 20 ___ года № ______ "Об утверждении Правил формирования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ведения регистра" Вы включены в регистр потенциальных реципиентов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(части органа) и (или) тканей (части ткани) на трансплантацию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орган (часть органа) и (или) ткань (часть ткани)).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полностью)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 20__ г. ____________________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