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96f7" w14:textId="9ee9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31 марта 2015 года № 400 "Об утверждении Правил проведения энергоаудита"</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29 ноября 2023 года № 94. Зарегистрирован в Министерстве юстиции Республики Казахстан 30 ноября 2023 года № 33705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31 марта 2015 года № 400 "Об утверждении Правил проведения энергоаудита" (зарегистрирован в Реестре государственной регистрации нормативных правовых актов за № 11729)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энергоаудита,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5-1) и 11) следующего содержания:</w:t>
      </w:r>
    </w:p>
    <w:bookmarkStart w:name="z8" w:id="3"/>
    <w:p>
      <w:pPr>
        <w:spacing w:after="0"/>
        <w:ind w:left="0"/>
        <w:jc w:val="both"/>
      </w:pPr>
      <w:r>
        <w:rPr>
          <w:rFonts w:ascii="Times New Roman"/>
          <w:b w:val="false"/>
          <w:i w:val="false"/>
          <w:color w:val="000000"/>
          <w:sz w:val="28"/>
        </w:rPr>
        <w:t>
      "5-1) энергетический аудитор (далее – энергоаудитор) – физическое лицо, имеющее сертификат соответствия в области энергосбережения и повышения энергоэффективности;</w:t>
      </w:r>
    </w:p>
    <w:bookmarkEnd w:id="3"/>
    <w:bookmarkStart w:name="z9" w:id="4"/>
    <w:p>
      <w:pPr>
        <w:spacing w:after="0"/>
        <w:ind w:left="0"/>
        <w:jc w:val="both"/>
      </w:pPr>
      <w:r>
        <w:rPr>
          <w:rFonts w:ascii="Times New Roman"/>
          <w:b w:val="false"/>
          <w:i w:val="false"/>
          <w:color w:val="000000"/>
          <w:sz w:val="28"/>
        </w:rPr>
        <w:t>
      11) сертификат соответствия в области энергосбережения и повышения энергоэффективности – документ, выдаваемый органом по подтверждению соответствия, удостоверяющий компетентность энергоаудитора выполнять работы в области энергосбережения и повышения энергоэффективности.";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xml:space="preserve">
      "5. Общий срок проведения обязательного энергоаудита составляет не менее двух месяцев, но не более двенадцати месяцев со дня заключения договора, срок проведения экспресс-энергоаудита не менее двух месяцев, но не более шести месяцев со дня заключения договора, срок проведения целевого энергоаудита определяется энергоаудиторской организацией и обратившимся лицом на основании договора, заключенного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"12. По результатам обязательного энергоаудита составляется заключение по энергосбережению и повышению энергоэффективности.</w:t>
      </w:r>
    </w:p>
    <w:bookmarkEnd w:id="6"/>
    <w:bookmarkStart w:name="z14" w:id="7"/>
    <w:p>
      <w:pPr>
        <w:spacing w:after="0"/>
        <w:ind w:left="0"/>
        <w:jc w:val="both"/>
      </w:pPr>
      <w:r>
        <w:rPr>
          <w:rFonts w:ascii="Times New Roman"/>
          <w:b w:val="false"/>
          <w:i w:val="false"/>
          <w:color w:val="000000"/>
          <w:sz w:val="28"/>
        </w:rPr>
        <w:t xml:space="preserve">
      Заключение по энергосбережению и повышению энергоэффективности оформляется в соответствии с настоящими </w:t>
      </w:r>
      <w:r>
        <w:rPr>
          <w:rFonts w:ascii="Times New Roman"/>
          <w:b w:val="false"/>
          <w:i w:val="false"/>
          <w:color w:val="000000"/>
          <w:sz w:val="28"/>
        </w:rPr>
        <w:t>Правилами</w:t>
      </w:r>
      <w:r>
        <w:rPr>
          <w:rFonts w:ascii="Times New Roman"/>
          <w:b w:val="false"/>
          <w:i w:val="false"/>
          <w:color w:val="000000"/>
          <w:sz w:val="28"/>
        </w:rPr>
        <w:t>, выдается на фирменном бланке юридического лица (при его наличии), осуществлявшего энергоаудит, утверждается его руководителем, заверяется печатью (при его наличии) энергоаудиторской организации, а также подписями энергоаудиторов.</w:t>
      </w:r>
    </w:p>
    <w:bookmarkEnd w:id="7"/>
    <w:bookmarkStart w:name="z15" w:id="8"/>
    <w:p>
      <w:pPr>
        <w:spacing w:after="0"/>
        <w:ind w:left="0"/>
        <w:jc w:val="both"/>
      </w:pPr>
      <w:r>
        <w:rPr>
          <w:rFonts w:ascii="Times New Roman"/>
          <w:b w:val="false"/>
          <w:i w:val="false"/>
          <w:color w:val="000000"/>
          <w:sz w:val="28"/>
        </w:rPr>
        <w:t>
      При наличии возражений со стороны обратившегося лица к заключению по энергосбережению и повышению энергоэффективности, энергоаудиторская организация в течение срока, установленного договором, представляет развернутое пояснение в письменном виде.";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"20. На подготовительном этапе энергоаудиторская организация или энергоаудитор, являющийся индивидуальным предпринимателем составляет Программу проведения экспресс-энергоаудита (далее – Программа) с указанием сроков выполнения работ и ответственных лиц.</w:t>
      </w:r>
    </w:p>
    <w:bookmarkEnd w:id="9"/>
    <w:bookmarkStart w:name="z18" w:id="10"/>
    <w:p>
      <w:pPr>
        <w:spacing w:after="0"/>
        <w:ind w:left="0"/>
        <w:jc w:val="both"/>
      </w:pPr>
      <w:r>
        <w:rPr>
          <w:rFonts w:ascii="Times New Roman"/>
          <w:b w:val="false"/>
          <w:i w:val="false"/>
          <w:color w:val="000000"/>
          <w:sz w:val="28"/>
        </w:rPr>
        <w:t>
      Энергоаудиторская организация или энергоаудитор, являющийся индивидуальным предпринимателем, формирует перечень сведений и документов (исходных данных), которые предоставляются (при его наличии) обратившимся лицом в рамках выполнения данного этапа, в том числе:</w:t>
      </w:r>
    </w:p>
    <w:bookmarkEnd w:id="10"/>
    <w:bookmarkStart w:name="z19" w:id="11"/>
    <w:p>
      <w:pPr>
        <w:spacing w:after="0"/>
        <w:ind w:left="0"/>
        <w:jc w:val="both"/>
      </w:pPr>
      <w:r>
        <w:rPr>
          <w:rFonts w:ascii="Times New Roman"/>
          <w:b w:val="false"/>
          <w:i w:val="false"/>
          <w:color w:val="000000"/>
          <w:sz w:val="28"/>
        </w:rPr>
        <w:t>
      1) план мероприятий по энергосбережению и повышению энергоэффективности, разработанный по итогам предыдущего энергоаудита и результаты его исполнения (при поредении повторного энергоаудита);</w:t>
      </w:r>
    </w:p>
    <w:bookmarkEnd w:id="11"/>
    <w:bookmarkStart w:name="z20" w:id="12"/>
    <w:p>
      <w:pPr>
        <w:spacing w:after="0"/>
        <w:ind w:left="0"/>
        <w:jc w:val="both"/>
      </w:pPr>
      <w:r>
        <w:rPr>
          <w:rFonts w:ascii="Times New Roman"/>
          <w:b w:val="false"/>
          <w:i w:val="false"/>
          <w:color w:val="000000"/>
          <w:sz w:val="28"/>
        </w:rPr>
        <w:t>
      2) объемы добычи, производства, потребления, передачи энергетических ресурсов и воды за пять последовательных лет, предшествующих проводимому экспресс-энергоаудиту;</w:t>
      </w:r>
    </w:p>
    <w:bookmarkEnd w:id="12"/>
    <w:bookmarkStart w:name="z21" w:id="13"/>
    <w:p>
      <w:pPr>
        <w:spacing w:after="0"/>
        <w:ind w:left="0"/>
        <w:jc w:val="both"/>
      </w:pPr>
      <w:r>
        <w:rPr>
          <w:rFonts w:ascii="Times New Roman"/>
          <w:b w:val="false"/>
          <w:i w:val="false"/>
          <w:color w:val="000000"/>
          <w:sz w:val="28"/>
        </w:rPr>
        <w:t>
      3) состав основных зданий, строений, сооружений и их характеристики (назначение объекта и его составляющие (пристройки), инженерные системы, класс энергоэффективности, дата постройки, этажность здания, материал стен и крыш, площадь остекления и вид остекления, кубатура, общая площадь);</w:t>
      </w:r>
    </w:p>
    <w:bookmarkEnd w:id="13"/>
    <w:bookmarkStart w:name="z22" w:id="14"/>
    <w:p>
      <w:pPr>
        <w:spacing w:after="0"/>
        <w:ind w:left="0"/>
        <w:jc w:val="both"/>
      </w:pPr>
      <w:r>
        <w:rPr>
          <w:rFonts w:ascii="Times New Roman"/>
          <w:b w:val="false"/>
          <w:i w:val="false"/>
          <w:color w:val="000000"/>
          <w:sz w:val="28"/>
        </w:rPr>
        <w:t>
      4) сведения об источниках энергоснабжения и параметрах энергоносителей;</w:t>
      </w:r>
    </w:p>
    <w:bookmarkEnd w:id="14"/>
    <w:bookmarkStart w:name="z23" w:id="15"/>
    <w:p>
      <w:pPr>
        <w:spacing w:after="0"/>
        <w:ind w:left="0"/>
        <w:jc w:val="both"/>
      </w:pPr>
      <w:r>
        <w:rPr>
          <w:rFonts w:ascii="Times New Roman"/>
          <w:b w:val="false"/>
          <w:i w:val="false"/>
          <w:color w:val="000000"/>
          <w:sz w:val="28"/>
        </w:rPr>
        <w:t>
      5) сведения о системах электроснабжения, теплоснабжения, вентиляции, холодоснабжения, водоснабжения, воздухоснабжения, канализации, газоснабжения;</w:t>
      </w:r>
    </w:p>
    <w:bookmarkEnd w:id="15"/>
    <w:bookmarkStart w:name="z24" w:id="16"/>
    <w:p>
      <w:pPr>
        <w:spacing w:after="0"/>
        <w:ind w:left="0"/>
        <w:jc w:val="both"/>
      </w:pPr>
      <w:r>
        <w:rPr>
          <w:rFonts w:ascii="Times New Roman"/>
          <w:b w:val="false"/>
          <w:i w:val="false"/>
          <w:color w:val="000000"/>
          <w:sz w:val="28"/>
        </w:rPr>
        <w:t>
      6) численный состав, увеличение или уменьшение численного состава сотрудников обратившегося лица;</w:t>
      </w:r>
    </w:p>
    <w:bookmarkEnd w:id="16"/>
    <w:bookmarkStart w:name="z25" w:id="17"/>
    <w:p>
      <w:pPr>
        <w:spacing w:after="0"/>
        <w:ind w:left="0"/>
        <w:jc w:val="both"/>
      </w:pPr>
      <w:r>
        <w:rPr>
          <w:rFonts w:ascii="Times New Roman"/>
          <w:b w:val="false"/>
          <w:i w:val="false"/>
          <w:color w:val="000000"/>
          <w:sz w:val="28"/>
        </w:rPr>
        <w:t>
      7) копия предыдущего заключения по энергосбережению и повышению энергоэффективности;</w:t>
      </w:r>
    </w:p>
    <w:bookmarkEnd w:id="17"/>
    <w:bookmarkStart w:name="z26" w:id="18"/>
    <w:p>
      <w:pPr>
        <w:spacing w:after="0"/>
        <w:ind w:left="0"/>
        <w:jc w:val="both"/>
      </w:pPr>
      <w:r>
        <w:rPr>
          <w:rFonts w:ascii="Times New Roman"/>
          <w:b w:val="false"/>
          <w:i w:val="false"/>
          <w:color w:val="000000"/>
          <w:sz w:val="28"/>
        </w:rPr>
        <w:t>
      8) общие сведения об объектах, потребляющих топливно-энергетические ресурсы (далее – ТЭР) краткая историческая справка;</w:t>
      </w:r>
    </w:p>
    <w:bookmarkEnd w:id="18"/>
    <w:bookmarkStart w:name="z27" w:id="19"/>
    <w:p>
      <w:pPr>
        <w:spacing w:after="0"/>
        <w:ind w:left="0"/>
        <w:jc w:val="both"/>
      </w:pPr>
      <w:r>
        <w:rPr>
          <w:rFonts w:ascii="Times New Roman"/>
          <w:b w:val="false"/>
          <w:i w:val="false"/>
          <w:color w:val="000000"/>
          <w:sz w:val="28"/>
        </w:rPr>
        <w:t>
      9) номенклатура и объемы производства продукции;</w:t>
      </w:r>
    </w:p>
    <w:bookmarkEnd w:id="19"/>
    <w:bookmarkStart w:name="z28" w:id="20"/>
    <w:p>
      <w:pPr>
        <w:spacing w:after="0"/>
        <w:ind w:left="0"/>
        <w:jc w:val="both"/>
      </w:pPr>
      <w:r>
        <w:rPr>
          <w:rFonts w:ascii="Times New Roman"/>
          <w:b w:val="false"/>
          <w:i w:val="false"/>
          <w:color w:val="000000"/>
          <w:sz w:val="28"/>
        </w:rPr>
        <w:t>
      10) режимы работы объектов, потребляющих ТЭР, ограничения на потребление ТЭР;</w:t>
      </w:r>
    </w:p>
    <w:bookmarkEnd w:id="20"/>
    <w:bookmarkStart w:name="z29" w:id="21"/>
    <w:p>
      <w:pPr>
        <w:spacing w:after="0"/>
        <w:ind w:left="0"/>
        <w:jc w:val="both"/>
      </w:pPr>
      <w:r>
        <w:rPr>
          <w:rFonts w:ascii="Times New Roman"/>
          <w:b w:val="false"/>
          <w:i w:val="false"/>
          <w:color w:val="000000"/>
          <w:sz w:val="28"/>
        </w:rPr>
        <w:t>
      11) характеристики систем учета и контроля потребления ТЭР;</w:t>
      </w:r>
    </w:p>
    <w:bookmarkEnd w:id="21"/>
    <w:bookmarkStart w:name="z30" w:id="22"/>
    <w:p>
      <w:pPr>
        <w:spacing w:after="0"/>
        <w:ind w:left="0"/>
        <w:jc w:val="both"/>
      </w:pPr>
      <w:r>
        <w:rPr>
          <w:rFonts w:ascii="Times New Roman"/>
          <w:b w:val="false"/>
          <w:i w:val="false"/>
          <w:color w:val="000000"/>
          <w:sz w:val="28"/>
        </w:rPr>
        <w:t>
      12) сведения об организации работы системы энергоменеджмента на объектах, потребляющих ТЭР;</w:t>
      </w:r>
    </w:p>
    <w:bookmarkEnd w:id="22"/>
    <w:bookmarkStart w:name="z31" w:id="23"/>
    <w:p>
      <w:pPr>
        <w:spacing w:after="0"/>
        <w:ind w:left="0"/>
        <w:jc w:val="both"/>
      </w:pPr>
      <w:r>
        <w:rPr>
          <w:rFonts w:ascii="Times New Roman"/>
          <w:b w:val="false"/>
          <w:i w:val="false"/>
          <w:color w:val="000000"/>
          <w:sz w:val="28"/>
        </w:rPr>
        <w:t xml:space="preserve">
      13) информация, вносимая в Государственный энергетический реестр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Государственного энергетического реестра, утвержденными приказом Министра по инвестициям и развитию Республики Казахстан от 31 марта 2015 года № 387 (зарегистрированный в Реестре государственной регистрации нормативных правовых актов за № 11728) за пять последовательных лет, предшествующих проводимому экспресс-энергоаудиту.</w:t>
      </w:r>
    </w:p>
    <w:bookmarkEnd w:id="23"/>
    <w:bookmarkStart w:name="z32" w:id="24"/>
    <w:p>
      <w:pPr>
        <w:spacing w:after="0"/>
        <w:ind w:left="0"/>
        <w:jc w:val="both"/>
      </w:pPr>
      <w:r>
        <w:rPr>
          <w:rFonts w:ascii="Times New Roman"/>
          <w:b w:val="false"/>
          <w:i w:val="false"/>
          <w:color w:val="000000"/>
          <w:sz w:val="28"/>
        </w:rPr>
        <w:t>
      21. На аналитическом этапе энергоаудиторской организацией или энергоаудитором, являющимся индивидуальным предпринимателем, проводятся следующие мероприятия:</w:t>
      </w:r>
    </w:p>
    <w:bookmarkEnd w:id="24"/>
    <w:bookmarkStart w:name="z33" w:id="25"/>
    <w:p>
      <w:pPr>
        <w:spacing w:after="0"/>
        <w:ind w:left="0"/>
        <w:jc w:val="both"/>
      </w:pPr>
      <w:r>
        <w:rPr>
          <w:rFonts w:ascii="Times New Roman"/>
          <w:b w:val="false"/>
          <w:i w:val="false"/>
          <w:color w:val="000000"/>
          <w:sz w:val="28"/>
        </w:rPr>
        <w:t>
      1) определение энергетических систем предприятия (объекты, потребляющие ТЭР) и основного энергопотребляющего оборудования, удельных расходов ТЭР, возможного потенциала энергосбережения, основных объемов потребления энергоресурсов и расходов на приобретение энергетических ресурсов, показателей объектов, потребляющих ТЭР;</w:t>
      </w:r>
    </w:p>
    <w:bookmarkEnd w:id="25"/>
    <w:bookmarkStart w:name="z34" w:id="26"/>
    <w:p>
      <w:pPr>
        <w:spacing w:after="0"/>
        <w:ind w:left="0"/>
        <w:jc w:val="both"/>
      </w:pPr>
      <w:r>
        <w:rPr>
          <w:rFonts w:ascii="Times New Roman"/>
          <w:b w:val="false"/>
          <w:i w:val="false"/>
          <w:color w:val="000000"/>
          <w:sz w:val="28"/>
        </w:rPr>
        <w:t>
      2) подтверждения результатов энергетического анализа, проводимого обратившимся лицом, в рамках внедренной системы энергетического менеджмента за предшествующие 5 лет;</w:t>
      </w:r>
    </w:p>
    <w:bookmarkEnd w:id="26"/>
    <w:bookmarkStart w:name="z35" w:id="27"/>
    <w:p>
      <w:pPr>
        <w:spacing w:after="0"/>
        <w:ind w:left="0"/>
        <w:jc w:val="both"/>
      </w:pPr>
      <w:r>
        <w:rPr>
          <w:rFonts w:ascii="Times New Roman"/>
          <w:b w:val="false"/>
          <w:i w:val="false"/>
          <w:color w:val="000000"/>
          <w:sz w:val="28"/>
        </w:rPr>
        <w:t>
      3) проведение анализа заключения по энергосбережению и повышению энергоэффективности;</w:t>
      </w:r>
    </w:p>
    <w:bookmarkEnd w:id="27"/>
    <w:bookmarkStart w:name="z36" w:id="28"/>
    <w:p>
      <w:pPr>
        <w:spacing w:after="0"/>
        <w:ind w:left="0"/>
        <w:jc w:val="both"/>
      </w:pPr>
      <w:r>
        <w:rPr>
          <w:rFonts w:ascii="Times New Roman"/>
          <w:b w:val="false"/>
          <w:i w:val="false"/>
          <w:color w:val="000000"/>
          <w:sz w:val="28"/>
        </w:rPr>
        <w:t>
      4) проведение анализа исполнения плана мероприятий по энергосбережению и повышению энергоэффективности.</w:t>
      </w:r>
    </w:p>
    <w:bookmarkEnd w:id="28"/>
    <w:bookmarkStart w:name="z37" w:id="29"/>
    <w:p>
      <w:pPr>
        <w:spacing w:after="0"/>
        <w:ind w:left="0"/>
        <w:jc w:val="both"/>
      </w:pPr>
      <w:r>
        <w:rPr>
          <w:rFonts w:ascii="Times New Roman"/>
          <w:b w:val="false"/>
          <w:i w:val="false"/>
          <w:color w:val="000000"/>
          <w:sz w:val="28"/>
        </w:rPr>
        <w:t>
      Энергоаудиторская организация или энергоаудитор, являющийся индивидуальным предпринимателем, для подтверждения и/или уточнения данных проводят приборные измерения.</w:t>
      </w:r>
    </w:p>
    <w:bookmarkEnd w:id="29"/>
    <w:bookmarkStart w:name="z38" w:id="30"/>
    <w:p>
      <w:pPr>
        <w:spacing w:after="0"/>
        <w:ind w:left="0"/>
        <w:jc w:val="both"/>
      </w:pPr>
      <w:r>
        <w:rPr>
          <w:rFonts w:ascii="Times New Roman"/>
          <w:b w:val="false"/>
          <w:i w:val="false"/>
          <w:color w:val="000000"/>
          <w:sz w:val="28"/>
        </w:rPr>
        <w:t>
      22. На заключительном этапе энергоаудиторской организацией или энергоаудитором, являющимся индивидуальным предпринимателем, обобщаются результаты анализа использования энергетических ресурсов технологическими процессами, зданием, строением, сооружением, по группам оборудования и видам энергоносителей.</w:t>
      </w:r>
    </w:p>
    <w:bookmarkEnd w:id="30"/>
    <w:bookmarkStart w:name="z39" w:id="31"/>
    <w:p>
      <w:pPr>
        <w:spacing w:after="0"/>
        <w:ind w:left="0"/>
        <w:jc w:val="both"/>
      </w:pPr>
      <w:r>
        <w:rPr>
          <w:rFonts w:ascii="Times New Roman"/>
          <w:b w:val="false"/>
          <w:i w:val="false"/>
          <w:color w:val="000000"/>
          <w:sz w:val="28"/>
        </w:rPr>
        <w:t>
      23. По результатам экспресс-энергоаудита составляется заключение по энергосбережению и повышению энергоэффективности.</w:t>
      </w:r>
    </w:p>
    <w:bookmarkEnd w:id="31"/>
    <w:bookmarkStart w:name="z40" w:id="32"/>
    <w:p>
      <w:pPr>
        <w:spacing w:after="0"/>
        <w:ind w:left="0"/>
        <w:jc w:val="both"/>
      </w:pPr>
      <w:r>
        <w:rPr>
          <w:rFonts w:ascii="Times New Roman"/>
          <w:b w:val="false"/>
          <w:i w:val="false"/>
          <w:color w:val="000000"/>
          <w:sz w:val="28"/>
        </w:rPr>
        <w:t>
      Заключение по энергосбережению и повышению энергоэффективности оформляется в соответствии с настоящими Правилами, выдается на фирменном бланке (при его наличии) осуществлявшего энергоаудит лица, с указанием даты выдачи, утверждается его руководителем или энергоаудитором, являющимся индивидуальным предпринимателем, заверяется печатью (при его наличии) энергоаудиторской организации или энергоаудитора, являющегося индивидуальным предпринимателем, а также подписями энергоаудиторов.</w:t>
      </w:r>
    </w:p>
    <w:bookmarkEnd w:id="32"/>
    <w:bookmarkStart w:name="z41" w:id="33"/>
    <w:p>
      <w:pPr>
        <w:spacing w:after="0"/>
        <w:ind w:left="0"/>
        <w:jc w:val="both"/>
      </w:pPr>
      <w:r>
        <w:rPr>
          <w:rFonts w:ascii="Times New Roman"/>
          <w:b w:val="false"/>
          <w:i w:val="false"/>
          <w:color w:val="000000"/>
          <w:sz w:val="28"/>
        </w:rPr>
        <w:t>
      При наличии возражений со стороны обратившегося лица к Заключению по энергосбережению и повышению энергоэффективности, энергоаудиторская организация или энергоаудитор, являющийся индивидуальным предпринимателем в течение срока, установленного договором, представляет развернутое пояснение в письменном виде.</w:t>
      </w:r>
    </w:p>
    <w:bookmarkEnd w:id="33"/>
    <w:bookmarkStart w:name="z42" w:id="34"/>
    <w:p>
      <w:pPr>
        <w:spacing w:after="0"/>
        <w:ind w:left="0"/>
        <w:jc w:val="both"/>
      </w:pPr>
      <w:r>
        <w:rPr>
          <w:rFonts w:ascii="Times New Roman"/>
          <w:b w:val="false"/>
          <w:i w:val="false"/>
          <w:color w:val="000000"/>
          <w:sz w:val="28"/>
        </w:rPr>
        <w:t>
      24. Заключение по энергосбережению и повышению энергоэффективности состоит из трех основных частей:</w:t>
      </w:r>
    </w:p>
    <w:bookmarkEnd w:id="34"/>
    <w:bookmarkStart w:name="z43" w:id="35"/>
    <w:p>
      <w:pPr>
        <w:spacing w:after="0"/>
        <w:ind w:left="0"/>
        <w:jc w:val="both"/>
      </w:pPr>
      <w:r>
        <w:rPr>
          <w:rFonts w:ascii="Times New Roman"/>
          <w:b w:val="false"/>
          <w:i w:val="false"/>
          <w:color w:val="000000"/>
          <w:sz w:val="28"/>
        </w:rPr>
        <w:t>
      1) вводная часть, в которой указываются данные обратившегося лица, энергоаудиторской организации или энергоаудитора, являющегося индивидуальным предпринимателем, номер заключенного договора и объекта энергоаудита (характеристика производственной деятельности и описание технологического процесса);</w:t>
      </w:r>
    </w:p>
    <w:bookmarkEnd w:id="35"/>
    <w:bookmarkStart w:name="z44" w:id="36"/>
    <w:p>
      <w:pPr>
        <w:spacing w:after="0"/>
        <w:ind w:left="0"/>
        <w:jc w:val="both"/>
      </w:pPr>
      <w:r>
        <w:rPr>
          <w:rFonts w:ascii="Times New Roman"/>
          <w:b w:val="false"/>
          <w:i w:val="false"/>
          <w:color w:val="000000"/>
          <w:sz w:val="28"/>
        </w:rPr>
        <w:t>
      2) основная часть, в которой приводится анализ по потреблению энергетических ресурсов, по определению удельных расходов энергетических ресурсов на единицу продукции, а также следующие результаты анализа:</w:t>
      </w:r>
    </w:p>
    <w:bookmarkEnd w:id="36"/>
    <w:bookmarkStart w:name="z45" w:id="37"/>
    <w:p>
      <w:pPr>
        <w:spacing w:after="0"/>
        <w:ind w:left="0"/>
        <w:jc w:val="both"/>
      </w:pPr>
      <w:r>
        <w:rPr>
          <w:rFonts w:ascii="Times New Roman"/>
          <w:b w:val="false"/>
          <w:i w:val="false"/>
          <w:color w:val="000000"/>
          <w:sz w:val="28"/>
        </w:rPr>
        <w:t>
      энергетического анализа, проводимого обратившимся лицом в рамках внедренной системы энергетического менеджмента;</w:t>
      </w:r>
    </w:p>
    <w:bookmarkEnd w:id="37"/>
    <w:bookmarkStart w:name="z46" w:id="38"/>
    <w:p>
      <w:pPr>
        <w:spacing w:after="0"/>
        <w:ind w:left="0"/>
        <w:jc w:val="both"/>
      </w:pPr>
      <w:r>
        <w:rPr>
          <w:rFonts w:ascii="Times New Roman"/>
          <w:b w:val="false"/>
          <w:i w:val="false"/>
          <w:color w:val="000000"/>
          <w:sz w:val="28"/>
        </w:rPr>
        <w:t>
      данных, указанных в предыдущем заключении по энергосбережению и повышению энергоэффективности;</w:t>
      </w:r>
    </w:p>
    <w:bookmarkEnd w:id="38"/>
    <w:bookmarkStart w:name="z47" w:id="39"/>
    <w:p>
      <w:pPr>
        <w:spacing w:after="0"/>
        <w:ind w:left="0"/>
        <w:jc w:val="both"/>
      </w:pPr>
      <w:r>
        <w:rPr>
          <w:rFonts w:ascii="Times New Roman"/>
          <w:b w:val="false"/>
          <w:i w:val="false"/>
          <w:color w:val="000000"/>
          <w:sz w:val="28"/>
        </w:rPr>
        <w:t>
      исполнения плана мероприятий по энергосбережению и повышению энергоэффективности.</w:t>
      </w:r>
    </w:p>
    <w:bookmarkEnd w:id="39"/>
    <w:bookmarkStart w:name="z48" w:id="40"/>
    <w:p>
      <w:pPr>
        <w:spacing w:after="0"/>
        <w:ind w:left="0"/>
        <w:jc w:val="both"/>
      </w:pPr>
      <w:r>
        <w:rPr>
          <w:rFonts w:ascii="Times New Roman"/>
          <w:b w:val="false"/>
          <w:i w:val="false"/>
          <w:color w:val="000000"/>
          <w:sz w:val="28"/>
        </w:rPr>
        <w:t>
      3) заключительная часть, которая включает выводы и рекомендации.</w:t>
      </w:r>
    </w:p>
    <w:bookmarkEnd w:id="40"/>
    <w:bookmarkStart w:name="z49" w:id="41"/>
    <w:p>
      <w:pPr>
        <w:spacing w:after="0"/>
        <w:ind w:left="0"/>
        <w:jc w:val="both"/>
      </w:pPr>
      <w:r>
        <w:rPr>
          <w:rFonts w:ascii="Times New Roman"/>
          <w:b w:val="false"/>
          <w:i w:val="false"/>
          <w:color w:val="000000"/>
          <w:sz w:val="28"/>
        </w:rPr>
        <w:t xml:space="preserve">
      В рекомендациях приводятся мероприятия и направления по энергосбережению и повышению энергоэффективности объекта с учетом снижения потребления энергетических ресурсов на единицу продукции и (или) снижение энергетических ресурсов на отопление на единицу площади зданий, строений, сооружений, применимой к деятельности обратившегося лица, и с указанием сроков их выполнения, а также технико-экономический расчет и обоснование предлагаемых мероприятий, в выводах – общая оценка деятельности обратившегося лица в области энергосбережения и повышения энергоэффективности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возможный потенциал энергосбережения объекта в натуральном и процентном выражении.</w:t>
      </w:r>
    </w:p>
    <w:bookmarkEnd w:id="41"/>
    <w:bookmarkStart w:name="z50" w:id="42"/>
    <w:p>
      <w:pPr>
        <w:spacing w:after="0"/>
        <w:ind w:left="0"/>
        <w:jc w:val="both"/>
      </w:pPr>
      <w:r>
        <w:rPr>
          <w:rFonts w:ascii="Times New Roman"/>
          <w:b w:val="false"/>
          <w:i w:val="false"/>
          <w:color w:val="000000"/>
          <w:sz w:val="28"/>
        </w:rPr>
        <w:t>
      25. К заключению по энергосбережению и повышению энергоэффективности прилагается заполняемая энергоаудиторской организацией или энергоаудитором, являющимся индивидуальным предпринимателем, отчетная информация:</w:t>
      </w:r>
    </w:p>
    <w:bookmarkEnd w:id="42"/>
    <w:bookmarkStart w:name="z51" w:id="43"/>
    <w:p>
      <w:pPr>
        <w:spacing w:after="0"/>
        <w:ind w:left="0"/>
        <w:jc w:val="both"/>
      </w:pPr>
      <w:r>
        <w:rPr>
          <w:rFonts w:ascii="Times New Roman"/>
          <w:b w:val="false"/>
          <w:i w:val="false"/>
          <w:color w:val="000000"/>
          <w:sz w:val="28"/>
        </w:rPr>
        <w:t xml:space="preserve">
      1) отчетная информация для промышленных предприятий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3"/>
    <w:bookmarkStart w:name="z52" w:id="44"/>
    <w:p>
      <w:pPr>
        <w:spacing w:after="0"/>
        <w:ind w:left="0"/>
        <w:jc w:val="both"/>
      </w:pPr>
      <w:r>
        <w:rPr>
          <w:rFonts w:ascii="Times New Roman"/>
          <w:b w:val="false"/>
          <w:i w:val="false"/>
          <w:color w:val="000000"/>
          <w:sz w:val="28"/>
        </w:rPr>
        <w:t xml:space="preserve">
      2) отчетная информация для зданий, строений, сооружений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4"/>
    <w:bookmarkStart w:name="z53" w:id="45"/>
    <w:p>
      <w:pPr>
        <w:spacing w:after="0"/>
        <w:ind w:left="0"/>
        <w:jc w:val="both"/>
      </w:pPr>
      <w:r>
        <w:rPr>
          <w:rFonts w:ascii="Times New Roman"/>
          <w:b w:val="false"/>
          <w:i w:val="false"/>
          <w:color w:val="000000"/>
          <w:sz w:val="28"/>
        </w:rPr>
        <w:t xml:space="preserve">
      3) отчетная информация для промышленных предприятий, имеющих здания, строения, сооружения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5"/>
    <w:bookmarkStart w:name="z54" w:id="46"/>
    <w:p>
      <w:pPr>
        <w:spacing w:after="0"/>
        <w:ind w:left="0"/>
        <w:jc w:val="both"/>
      </w:pPr>
      <w:r>
        <w:rPr>
          <w:rFonts w:ascii="Times New Roman"/>
          <w:b w:val="false"/>
          <w:i w:val="false"/>
          <w:color w:val="000000"/>
          <w:sz w:val="28"/>
        </w:rPr>
        <w:t>
      26. При разработке экономически целесообразных мероприятий не допускается обобщение, примерная оценка или использование условных процентов экономии. Техническое обоснование мероприятий по энергосбережению выполняется в натуральных единицах измерения, основанных на фактических данных с минимальным использованием субъективных оценок экспертов.</w:t>
      </w:r>
    </w:p>
    <w:bookmarkEnd w:id="46"/>
    <w:bookmarkStart w:name="z55" w:id="47"/>
    <w:p>
      <w:pPr>
        <w:spacing w:after="0"/>
        <w:ind w:left="0"/>
        <w:jc w:val="both"/>
      </w:pPr>
      <w:r>
        <w:rPr>
          <w:rFonts w:ascii="Times New Roman"/>
          <w:b w:val="false"/>
          <w:i w:val="false"/>
          <w:color w:val="000000"/>
          <w:sz w:val="28"/>
        </w:rPr>
        <w:t>
      Все исходные данные для инвестиционных расчетов подтверждаются техническим расчетом, принятым по справочной документации (с приведением ссылки на источник).</w:t>
      </w:r>
    </w:p>
    <w:bookmarkEnd w:id="47"/>
    <w:bookmarkStart w:name="z56" w:id="48"/>
    <w:p>
      <w:pPr>
        <w:spacing w:after="0"/>
        <w:ind w:left="0"/>
        <w:jc w:val="both"/>
      </w:pPr>
      <w:r>
        <w:rPr>
          <w:rFonts w:ascii="Times New Roman"/>
          <w:b w:val="false"/>
          <w:i w:val="false"/>
          <w:color w:val="000000"/>
          <w:sz w:val="28"/>
        </w:rPr>
        <w:t>
      В рекомендации по энергосбережению и рациональному использованию не допускается снижение уровня безопасности и комфортности работы персонала, качества и безопасности продукции, что должно подтверждаться проведением оценки возможных рисков, связанных с реализацией каждого конкретного мероприятия.</w:t>
      </w:r>
    </w:p>
    <w:bookmarkEnd w:id="48"/>
    <w:bookmarkStart w:name="z57" w:id="49"/>
    <w:p>
      <w:pPr>
        <w:spacing w:after="0"/>
        <w:ind w:left="0"/>
        <w:jc w:val="both"/>
      </w:pPr>
      <w:r>
        <w:rPr>
          <w:rFonts w:ascii="Times New Roman"/>
          <w:b w:val="false"/>
          <w:i w:val="false"/>
          <w:color w:val="000000"/>
          <w:sz w:val="28"/>
        </w:rPr>
        <w:t xml:space="preserve">
      27. По результатам экспресс-энергоаудита зданий, строений, сооружений, энергоаудиторской организацией или энергоаудитором, являющимся индивидуальным предпринимателем заполняется показатель класса энергоэффективности здания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9"/>
    <w:bookmarkStart w:name="z58" w:id="50"/>
    <w:p>
      <w:pPr>
        <w:spacing w:after="0"/>
        <w:ind w:left="0"/>
        <w:jc w:val="both"/>
      </w:pPr>
      <w:r>
        <w:rPr>
          <w:rFonts w:ascii="Times New Roman"/>
          <w:b w:val="false"/>
          <w:i w:val="false"/>
          <w:color w:val="000000"/>
          <w:sz w:val="28"/>
        </w:rPr>
        <w:t>
      Показатель класса энергоэффективности здания заполняется энергоаудиторской организацией или энергоаудитором, являющимся индивидуальным предпринимателем для каждого здания, строения и сооружения.";</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60" w:id="51"/>
    <w:p>
      <w:pPr>
        <w:spacing w:after="0"/>
        <w:ind w:left="0"/>
        <w:jc w:val="both"/>
      </w:pPr>
      <w:r>
        <w:rPr>
          <w:rFonts w:ascii="Times New Roman"/>
          <w:b w:val="false"/>
          <w:i w:val="false"/>
          <w:color w:val="000000"/>
          <w:sz w:val="28"/>
        </w:rPr>
        <w:t>
      "29. Заключение по энергосбережению и повышению энергоэффективности оформляется в двух экземплярах: один экземпляр предоставляется обратившемуся лицу, второй – хранится у энергоаудиторской организации или энергоаудитора, являющегося индивидуальным предпринимателем.";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62" w:id="52"/>
    <w:p>
      <w:pPr>
        <w:spacing w:after="0"/>
        <w:ind w:left="0"/>
        <w:jc w:val="both"/>
      </w:pPr>
      <w:r>
        <w:rPr>
          <w:rFonts w:ascii="Times New Roman"/>
          <w:b w:val="false"/>
          <w:i w:val="false"/>
          <w:color w:val="000000"/>
          <w:sz w:val="28"/>
        </w:rPr>
        <w:t>
      "30. Проведение работ по целевому энергоаудиту включает несколько этапов:</w:t>
      </w:r>
    </w:p>
    <w:bookmarkEnd w:id="52"/>
    <w:bookmarkStart w:name="z63" w:id="53"/>
    <w:p>
      <w:pPr>
        <w:spacing w:after="0"/>
        <w:ind w:left="0"/>
        <w:jc w:val="both"/>
      </w:pPr>
      <w:r>
        <w:rPr>
          <w:rFonts w:ascii="Times New Roman"/>
          <w:b w:val="false"/>
          <w:i w:val="false"/>
          <w:color w:val="000000"/>
          <w:sz w:val="28"/>
        </w:rPr>
        <w:t>
      1) подготовительный;</w:t>
      </w:r>
    </w:p>
    <w:bookmarkEnd w:id="53"/>
    <w:bookmarkStart w:name="z64" w:id="54"/>
    <w:p>
      <w:pPr>
        <w:spacing w:after="0"/>
        <w:ind w:left="0"/>
        <w:jc w:val="both"/>
      </w:pPr>
      <w:r>
        <w:rPr>
          <w:rFonts w:ascii="Times New Roman"/>
          <w:b w:val="false"/>
          <w:i w:val="false"/>
          <w:color w:val="000000"/>
          <w:sz w:val="28"/>
        </w:rPr>
        <w:t>
      2) документально-измерительный;</w:t>
      </w:r>
    </w:p>
    <w:bookmarkEnd w:id="54"/>
    <w:bookmarkStart w:name="z65" w:id="55"/>
    <w:p>
      <w:pPr>
        <w:spacing w:after="0"/>
        <w:ind w:left="0"/>
        <w:jc w:val="both"/>
      </w:pPr>
      <w:r>
        <w:rPr>
          <w:rFonts w:ascii="Times New Roman"/>
          <w:b w:val="false"/>
          <w:i w:val="false"/>
          <w:color w:val="000000"/>
          <w:sz w:val="28"/>
        </w:rPr>
        <w:t>
      3) аналитический;</w:t>
      </w:r>
    </w:p>
    <w:bookmarkEnd w:id="55"/>
    <w:bookmarkStart w:name="z66" w:id="56"/>
    <w:p>
      <w:pPr>
        <w:spacing w:after="0"/>
        <w:ind w:left="0"/>
        <w:jc w:val="both"/>
      </w:pPr>
      <w:r>
        <w:rPr>
          <w:rFonts w:ascii="Times New Roman"/>
          <w:b w:val="false"/>
          <w:i w:val="false"/>
          <w:color w:val="000000"/>
          <w:sz w:val="28"/>
        </w:rPr>
        <w:t>
      4) заключительный.";</w:t>
      </w:r>
    </w:p>
    <w:bookmarkEnd w:id="56"/>
    <w:bookmarkStart w:name="z67" w:id="57"/>
    <w:p>
      <w:pPr>
        <w:spacing w:after="0"/>
        <w:ind w:left="0"/>
        <w:jc w:val="both"/>
      </w:pPr>
      <w:r>
        <w:rPr>
          <w:rFonts w:ascii="Times New Roman"/>
          <w:b w:val="false"/>
          <w:i w:val="false"/>
          <w:color w:val="000000"/>
          <w:sz w:val="28"/>
        </w:rPr>
        <w:t>
      дополнить пунктом 30-1 следующего содержания:</w:t>
      </w:r>
    </w:p>
    <w:bookmarkEnd w:id="57"/>
    <w:bookmarkStart w:name="z68" w:id="58"/>
    <w:p>
      <w:pPr>
        <w:spacing w:after="0"/>
        <w:ind w:left="0"/>
        <w:jc w:val="both"/>
      </w:pPr>
      <w:r>
        <w:rPr>
          <w:rFonts w:ascii="Times New Roman"/>
          <w:b w:val="false"/>
          <w:i w:val="false"/>
          <w:color w:val="000000"/>
          <w:sz w:val="28"/>
        </w:rPr>
        <w:t>
      "30-1. Целевому энергоаудиту подлежат инженерные системы, здания, строения, сооружения, группы и типы оборудования, целевые индикаторы и показатели энергоэффективности, а также подразделения предприятия потребляющие энергетические ресурсы.";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70" w:id="59"/>
    <w:p>
      <w:pPr>
        <w:spacing w:after="0"/>
        <w:ind w:left="0"/>
        <w:jc w:val="both"/>
      </w:pPr>
      <w:r>
        <w:rPr>
          <w:rFonts w:ascii="Times New Roman"/>
          <w:b w:val="false"/>
          <w:i w:val="false"/>
          <w:color w:val="000000"/>
          <w:sz w:val="28"/>
        </w:rPr>
        <w:t xml:space="preserve">
      "31. На подготовительном этапе осуществляется сбор первичной информации об объекте целевого энергоаудита, разрабатывается Программа проведения целевого энергоаудита (далее – Программа) с указанием сроков выполнения работ и ответственных лиц. К Программе прилагается соответствующий регламент приборных измерений, перечень информационно-измерительных комплексов и технических средств, необходимых для осуществления деятельности в области энергосбережения и повышения энергоэффективности,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мая 2016 года № 455 (зарегистрированный в Реестре государственной регистрации нормативных правовых актов за № 13902) документы, подтверждающие наличие их поверки.";</w:t>
      </w:r>
    </w:p>
    <w:bookmarkEnd w:id="59"/>
    <w:bookmarkStart w:name="z71" w:id="60"/>
    <w:p>
      <w:pPr>
        <w:spacing w:after="0"/>
        <w:ind w:left="0"/>
        <w:jc w:val="both"/>
      </w:pPr>
      <w:r>
        <w:rPr>
          <w:rFonts w:ascii="Times New Roman"/>
          <w:b w:val="false"/>
          <w:i w:val="false"/>
          <w:color w:val="000000"/>
          <w:sz w:val="28"/>
        </w:rPr>
        <w:t>
      дополнить пунктом 31-1 следующего содержания:</w:t>
      </w:r>
    </w:p>
    <w:bookmarkEnd w:id="60"/>
    <w:bookmarkStart w:name="z72" w:id="61"/>
    <w:p>
      <w:pPr>
        <w:spacing w:after="0"/>
        <w:ind w:left="0"/>
        <w:jc w:val="both"/>
      </w:pPr>
      <w:r>
        <w:rPr>
          <w:rFonts w:ascii="Times New Roman"/>
          <w:b w:val="false"/>
          <w:i w:val="false"/>
          <w:color w:val="000000"/>
          <w:sz w:val="28"/>
        </w:rPr>
        <w:t xml:space="preserve">
      "31-1. На документально-измерительном этапе энергоаудиторская организация или энергоаудитор, являющийся индивидуальным предпринимателем, формирует перечень сведений и документов (исходных данных), которые предоставляются (при его наличии) обратившимся лицом. </w:t>
      </w:r>
    </w:p>
    <w:bookmarkEnd w:id="61"/>
    <w:bookmarkStart w:name="z73" w:id="62"/>
    <w:p>
      <w:pPr>
        <w:spacing w:after="0"/>
        <w:ind w:left="0"/>
        <w:jc w:val="both"/>
      </w:pPr>
      <w:r>
        <w:rPr>
          <w:rFonts w:ascii="Times New Roman"/>
          <w:b w:val="false"/>
          <w:i w:val="false"/>
          <w:color w:val="000000"/>
          <w:sz w:val="28"/>
        </w:rPr>
        <w:t>
      Энергоаудиторская организация или энергоаудитор, являющийся индивидуальным предпринимателем, для подтверждения и/или уточнения данных проводят приборные измерения.";</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75" w:id="63"/>
    <w:p>
      <w:pPr>
        <w:spacing w:after="0"/>
        <w:ind w:left="0"/>
        <w:jc w:val="both"/>
      </w:pPr>
      <w:r>
        <w:rPr>
          <w:rFonts w:ascii="Times New Roman"/>
          <w:b w:val="false"/>
          <w:i w:val="false"/>
          <w:color w:val="000000"/>
          <w:sz w:val="28"/>
        </w:rPr>
        <w:t>
      "32. На аналитическом этапе энергоаудиторской организацией или энергоаудитором, являющимся индивидуальным предпринимателем, проводятся следующие мероприятия:</w:t>
      </w:r>
    </w:p>
    <w:bookmarkEnd w:id="63"/>
    <w:bookmarkStart w:name="z76" w:id="64"/>
    <w:p>
      <w:pPr>
        <w:spacing w:after="0"/>
        <w:ind w:left="0"/>
        <w:jc w:val="both"/>
      </w:pPr>
      <w:r>
        <w:rPr>
          <w:rFonts w:ascii="Times New Roman"/>
          <w:b w:val="false"/>
          <w:i w:val="false"/>
          <w:color w:val="000000"/>
          <w:sz w:val="28"/>
        </w:rPr>
        <w:t>
      1) анализ полученных на подготовительном этапе и документально-измерительном этапе обследования информации;</w:t>
      </w:r>
    </w:p>
    <w:bookmarkEnd w:id="64"/>
    <w:bookmarkStart w:name="z77" w:id="65"/>
    <w:p>
      <w:pPr>
        <w:spacing w:after="0"/>
        <w:ind w:left="0"/>
        <w:jc w:val="both"/>
      </w:pPr>
      <w:r>
        <w:rPr>
          <w:rFonts w:ascii="Times New Roman"/>
          <w:b w:val="false"/>
          <w:i w:val="false"/>
          <w:color w:val="000000"/>
          <w:sz w:val="28"/>
        </w:rPr>
        <w:t>
      2) расчет фактических показателей энергоэффективности отдельных видов оборудования и технологических процессов объекта целевого энергоаудита;</w:t>
      </w:r>
    </w:p>
    <w:bookmarkEnd w:id="65"/>
    <w:bookmarkStart w:name="z78" w:id="66"/>
    <w:p>
      <w:pPr>
        <w:spacing w:after="0"/>
        <w:ind w:left="0"/>
        <w:jc w:val="both"/>
      </w:pPr>
      <w:r>
        <w:rPr>
          <w:rFonts w:ascii="Times New Roman"/>
          <w:b w:val="false"/>
          <w:i w:val="false"/>
          <w:color w:val="000000"/>
          <w:sz w:val="28"/>
        </w:rPr>
        <w:t>
      3) разработка мероприятий по повышению энергоэффективности.</w:t>
      </w:r>
    </w:p>
    <w:bookmarkEnd w:id="66"/>
    <w:bookmarkStart w:name="z79" w:id="67"/>
    <w:p>
      <w:pPr>
        <w:spacing w:after="0"/>
        <w:ind w:left="0"/>
        <w:jc w:val="both"/>
      </w:pPr>
      <w:r>
        <w:rPr>
          <w:rFonts w:ascii="Times New Roman"/>
          <w:b w:val="false"/>
          <w:i w:val="false"/>
          <w:color w:val="000000"/>
          <w:sz w:val="28"/>
        </w:rPr>
        <w:t>
      На основании анализа и сравнительных оценок делаются выводы о возможных направлениях, путях экономии энергоресурсов, повышения уровня энергоэффективности объекта целевого энергоаудита, о целесообразности и возможности реализации путей повышения энергоэффективности.</w:t>
      </w:r>
    </w:p>
    <w:bookmarkEnd w:id="67"/>
    <w:bookmarkStart w:name="z80" w:id="68"/>
    <w:p>
      <w:pPr>
        <w:spacing w:after="0"/>
        <w:ind w:left="0"/>
        <w:jc w:val="both"/>
      </w:pPr>
      <w:r>
        <w:rPr>
          <w:rFonts w:ascii="Times New Roman"/>
          <w:b w:val="false"/>
          <w:i w:val="false"/>
          <w:color w:val="000000"/>
          <w:sz w:val="28"/>
        </w:rPr>
        <w:t>
      33. На заключительном этапе энергоаудиторской организацией или энергоаудитором, являющимся индивидуальным предпринимателем, обобщаются результаты анализа использования энергетических ресурсов объектом целевого энергоаудита.";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82" w:id="69"/>
    <w:p>
      <w:pPr>
        <w:spacing w:after="0"/>
        <w:ind w:left="0"/>
        <w:jc w:val="both"/>
      </w:pPr>
      <w:r>
        <w:rPr>
          <w:rFonts w:ascii="Times New Roman"/>
          <w:b w:val="false"/>
          <w:i w:val="false"/>
          <w:color w:val="000000"/>
          <w:sz w:val="28"/>
        </w:rPr>
        <w:t>
      "34. По результатам целевого энергоаудита составляется технический отчет по энергосбережению и повышению энергоэффективности.</w:t>
      </w:r>
    </w:p>
    <w:bookmarkEnd w:id="69"/>
    <w:bookmarkStart w:name="z83" w:id="70"/>
    <w:p>
      <w:pPr>
        <w:spacing w:after="0"/>
        <w:ind w:left="0"/>
        <w:jc w:val="both"/>
      </w:pPr>
      <w:r>
        <w:rPr>
          <w:rFonts w:ascii="Times New Roman"/>
          <w:b w:val="false"/>
          <w:i w:val="false"/>
          <w:color w:val="000000"/>
          <w:sz w:val="28"/>
        </w:rPr>
        <w:t>
      Технический отчет по энергосбережению и повышению энергоэффективности оформляется в соответствии с настоящими Правилами, выдается на фирменном бланке (при его наличии) осуществлявшего энергоаудит лица, с указанием даты выдачи, утверждается его руководителем или индивидуальным предпринимателем, заверяется печатью (при его наличии) энергоаудиторской организации или энергоаудитора, являющегося индивидуальным предпринимателем, а также подписями энергоаудиторов.</w:t>
      </w:r>
    </w:p>
    <w:bookmarkEnd w:id="70"/>
    <w:bookmarkStart w:name="z84" w:id="71"/>
    <w:p>
      <w:pPr>
        <w:spacing w:after="0"/>
        <w:ind w:left="0"/>
        <w:jc w:val="both"/>
      </w:pPr>
      <w:r>
        <w:rPr>
          <w:rFonts w:ascii="Times New Roman"/>
          <w:b w:val="false"/>
          <w:i w:val="false"/>
          <w:color w:val="000000"/>
          <w:sz w:val="28"/>
        </w:rPr>
        <w:t>
      При наличии возражений со стороны обратившегося лица к Техническому отчету по энергосбережению и повышению энергоэффективности, энергоаудиторская организация или энергоаудитор, являющийся индивидуальным предпринимателем в течение срока, установленного договором, представляет развернутое пояснение в письменном виде.";</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86" w:id="72"/>
    <w:p>
      <w:pPr>
        <w:spacing w:after="0"/>
        <w:ind w:left="0"/>
        <w:jc w:val="both"/>
      </w:pPr>
      <w:r>
        <w:rPr>
          <w:rFonts w:ascii="Times New Roman"/>
          <w:b w:val="false"/>
          <w:i w:val="false"/>
          <w:color w:val="000000"/>
          <w:sz w:val="28"/>
        </w:rPr>
        <w:t>
      "35. Технический отчет по энергосбережению и повышению энергоэффективности состоит из трех основных частей:</w:t>
      </w:r>
    </w:p>
    <w:bookmarkEnd w:id="72"/>
    <w:bookmarkStart w:name="z87" w:id="73"/>
    <w:p>
      <w:pPr>
        <w:spacing w:after="0"/>
        <w:ind w:left="0"/>
        <w:jc w:val="both"/>
      </w:pPr>
      <w:r>
        <w:rPr>
          <w:rFonts w:ascii="Times New Roman"/>
          <w:b w:val="false"/>
          <w:i w:val="false"/>
          <w:color w:val="000000"/>
          <w:sz w:val="28"/>
        </w:rPr>
        <w:t>
      1) вводная часть, в которой указываются данные обратившегося лица, энергоаудиторской организации или энергоаудитора, являющегося индивидуальным предпринимателем, дата и номер заключенного договора, краткая характеристика деятельности и (или) описание технологического процесса;</w:t>
      </w:r>
    </w:p>
    <w:bookmarkEnd w:id="73"/>
    <w:bookmarkStart w:name="z88" w:id="74"/>
    <w:p>
      <w:pPr>
        <w:spacing w:after="0"/>
        <w:ind w:left="0"/>
        <w:jc w:val="both"/>
      </w:pPr>
      <w:r>
        <w:rPr>
          <w:rFonts w:ascii="Times New Roman"/>
          <w:b w:val="false"/>
          <w:i w:val="false"/>
          <w:color w:val="000000"/>
          <w:sz w:val="28"/>
        </w:rPr>
        <w:t>
      2) основная часть, в которой приводится анализ по потреблению энергетических ресурсов, по определению удельных расходов энергетических ресурсов на единицу продукции с расчетом, по системам электроснабжения, теплоснабжения, воздухоснабжения, водоснабжения, по зданиям, строениям и сооружениям;</w:t>
      </w:r>
    </w:p>
    <w:bookmarkEnd w:id="74"/>
    <w:bookmarkStart w:name="z89" w:id="75"/>
    <w:p>
      <w:pPr>
        <w:spacing w:after="0"/>
        <w:ind w:left="0"/>
        <w:jc w:val="both"/>
      </w:pPr>
      <w:r>
        <w:rPr>
          <w:rFonts w:ascii="Times New Roman"/>
          <w:b w:val="false"/>
          <w:i w:val="false"/>
          <w:color w:val="000000"/>
          <w:sz w:val="28"/>
        </w:rPr>
        <w:t>
      3) заключительная часть, которая включает рекомендации и выводы. В рекомендациях приводятся мероприятия по энергосбережению и повышению энергоэффективности объекта с учетом снижения потребления энергетических ресурсов и (или) снижение энергетических ресурсов на отопление на единицу площади зданий, строений, сооружений, применимой к деятельности обратившегося лица, и с указанием сроков их выполнения, а также технико-экономический расчет и обоснование предлагаемых мероприятий, в выводах возможный потенциал энергосбережения объекта в натуральном и процентном выражении.";</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bookmarkStart w:name="z91" w:id="76"/>
    <w:p>
      <w:pPr>
        <w:spacing w:after="0"/>
        <w:ind w:left="0"/>
        <w:jc w:val="both"/>
      </w:pPr>
      <w:r>
        <w:rPr>
          <w:rFonts w:ascii="Times New Roman"/>
          <w:b w:val="false"/>
          <w:i w:val="false"/>
          <w:color w:val="000000"/>
          <w:sz w:val="28"/>
        </w:rPr>
        <w:t>
      "37. Разработка экономически целесообразных мероприятий осуществляется в соответствии с пунктом 15 настоящих Правил.</w:t>
      </w:r>
    </w:p>
    <w:bookmarkEnd w:id="76"/>
    <w:bookmarkStart w:name="z92" w:id="77"/>
    <w:p>
      <w:pPr>
        <w:spacing w:after="0"/>
        <w:ind w:left="0"/>
        <w:jc w:val="both"/>
      </w:pPr>
      <w:r>
        <w:rPr>
          <w:rFonts w:ascii="Times New Roman"/>
          <w:b w:val="false"/>
          <w:i w:val="false"/>
          <w:color w:val="000000"/>
          <w:sz w:val="28"/>
        </w:rPr>
        <w:t xml:space="preserve">
      38. По результатам целевого энергоаудита зданий, строений, сооружений энергоаудиторской организацией или энергоаудитором, являющимся индивидуальным предпринимателем заполняется показатель класса энергоэффективности здания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7"/>
    <w:bookmarkStart w:name="z93" w:id="78"/>
    <w:p>
      <w:pPr>
        <w:spacing w:after="0"/>
        <w:ind w:left="0"/>
        <w:jc w:val="both"/>
      </w:pPr>
      <w:r>
        <w:rPr>
          <w:rFonts w:ascii="Times New Roman"/>
          <w:b w:val="false"/>
          <w:i w:val="false"/>
          <w:color w:val="000000"/>
          <w:sz w:val="28"/>
        </w:rPr>
        <w:t>
      Показатель класса энергоэффективности здания заполняется энергоаудиторской организацией или энергоаудитором, являющимся индивидуальным предпринимателем для каждого здания, строения, сооружения.".</w:t>
      </w:r>
    </w:p>
    <w:bookmarkEnd w:id="78"/>
    <w:bookmarkStart w:name="z94" w:id="79"/>
    <w:p>
      <w:pPr>
        <w:spacing w:after="0"/>
        <w:ind w:left="0"/>
        <w:jc w:val="both"/>
      </w:pPr>
      <w:r>
        <w:rPr>
          <w:rFonts w:ascii="Times New Roman"/>
          <w:b w:val="false"/>
          <w:i w:val="false"/>
          <w:color w:val="000000"/>
          <w:sz w:val="28"/>
        </w:rPr>
        <w:t>
      2. Комитету промышленности Министерства промышленности и строительства Республики Казахстан в установленном законодательством порядке обеспечить:</w:t>
      </w:r>
    </w:p>
    <w:bookmarkEnd w:id="79"/>
    <w:bookmarkStart w:name="z95" w:id="8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0"/>
    <w:bookmarkStart w:name="z96" w:id="81"/>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81"/>
    <w:bookmarkStart w:name="z97" w:id="8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82"/>
    <w:bookmarkStart w:name="z98" w:id="83"/>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 за исключением абзацев третьего, четвертого, пятого,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тридцать второго, тридцать третьего, тридцать четвертого, тридцать пятого, тридцать шестого, тридцать седьмого, тридцать восьмого, тридцать девятого, сорокового, сорок первого, сорок второго, сорок третьего, сорок четвертого, сорок пятого, сорок шестого, сорок седьмого, сорок восьмого, сорок девятого, пятьдесят третьего, пятьдесят четвертого, пятьдесят пятого, пятьдесят шестого, шестьдесят седьмого, шестьдесят восьмого, шестьдесят девятого, семьдесят первого, семьдесят второго, семьдесят третьего, семьдесят четвертого, семьдесят пятого, семьдесят шестого, семьдесят седьмого, семьдесят восьмого, семьдесят девятого, восьмидесятого, восемьдесят первого, восемьдесят второго, восемьдесят третьего, восемьдесят четвертого, восемьдесят пятого, восемьдесят восьмого, восемьдесят девятого, которые вводятся в действие с 10 июня 2024 года.</w:t>
      </w:r>
    </w:p>
    <w:bookmarkEnd w:id="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100" w:id="84"/>
      <w:r>
        <w:rPr>
          <w:rFonts w:ascii="Times New Roman"/>
          <w:b w:val="false"/>
          <w:i w:val="false"/>
          <w:color w:val="000000"/>
          <w:sz w:val="28"/>
        </w:rPr>
        <w:t>
      "СОГЛАСОВАН"</w:t>
      </w:r>
    </w:p>
    <w:bookmarkEnd w:id="8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