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d943" w14:textId="a26d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сельского хозяйства Республики Казахстан от 21 сентября 2022 года № 295 "Об утверждении Инструкции по созданию электронных земельно-кадастровых карт"</w:t>
      </w:r>
    </w:p>
    <w:p>
      <w:pPr>
        <w:spacing w:after="0"/>
        <w:ind w:left="0"/>
        <w:jc w:val="both"/>
      </w:pPr>
      <w:r>
        <w:rPr>
          <w:rFonts w:ascii="Times New Roman"/>
          <w:b w:val="false"/>
          <w:i w:val="false"/>
          <w:color w:val="000000"/>
          <w:sz w:val="28"/>
        </w:rPr>
        <w:t>Приказ Министра сельского хозяйства Республики Казахстан от 5 декабря 2023 года № 416. Зарегистрирован в Министерстве юстиции Республики Казахстан 11 декабря 2023 года № 33753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21 сентября 2022 года № 295 "Об утверждении Инструкции по созданию электронных земельно-кадастровых карт" (зарегистрирован в Реестре государственной регистрации нормативных правовых актов № 29862)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созданию электронных земельно-кадастровых карт,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9" w:id="4"/>
    <w:p>
      <w:pPr>
        <w:spacing w:after="0"/>
        <w:ind w:left="0"/>
        <w:jc w:val="both"/>
      </w:pPr>
      <w:r>
        <w:rPr>
          <w:rFonts w:ascii="Times New Roman"/>
          <w:b w:val="false"/>
          <w:i w:val="false"/>
          <w:color w:val="000000"/>
          <w:sz w:val="28"/>
        </w:rPr>
        <w:t>
      дополнить подпунктом 5-1) следующего содержания:</w:t>
      </w:r>
    </w:p>
    <w:bookmarkEnd w:id="4"/>
    <w:bookmarkStart w:name="z10" w:id="5"/>
    <w:p>
      <w:pPr>
        <w:spacing w:after="0"/>
        <w:ind w:left="0"/>
        <w:jc w:val="both"/>
      </w:pPr>
      <w:r>
        <w:rPr>
          <w:rFonts w:ascii="Times New Roman"/>
          <w:b w:val="false"/>
          <w:i w:val="false"/>
          <w:color w:val="000000"/>
          <w:sz w:val="28"/>
        </w:rPr>
        <w:t xml:space="preserve">
      "5-1)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"6. Электронные земельно-кадастровые карты создаются посредством ИС ЕГКН и ГИС.";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"13. При выявлении топологических ошибок при создании электронных земельно-кадастровых карт с использованием картографического материала масштабов 1:500, 1:1000 и 1:2000 проводятся полевые работы для координирования границ пересекаемых земельных участков в соответствии с их фактическим местоположением.</w:t>
      </w:r>
    </w:p>
    <w:bookmarkEnd w:id="7"/>
    <w:bookmarkStart w:name="z16" w:id="8"/>
    <w:p>
      <w:pPr>
        <w:spacing w:after="0"/>
        <w:ind w:left="0"/>
        <w:jc w:val="both"/>
      </w:pPr>
      <w:r>
        <w:rPr>
          <w:rFonts w:ascii="Times New Roman"/>
          <w:b w:val="false"/>
          <w:i w:val="false"/>
          <w:color w:val="000000"/>
          <w:sz w:val="28"/>
        </w:rPr>
        <w:t>
      После завершения полевых работ, проводится координирование границ земельных участков и соответствующие данные, с указанием топологических ошибок, вносятся в слой "Границы неоформленных земельных участков" электронной земельно-кадастровой карты.";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xml:space="preserve">
      "14. При несоответствии местоположения границ земельных участков координатам земельного участка, которые были внесены в базу данных ИС ЕГКН на основании землеустроительного проекта, исправление топологической ошибки в местоположении земельного участка осуществляется путем разработки землеустроительного проекта по упорядочению существующих земельных участков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землеустроительного проекта по формированию земельных участков, утвержденными приказом Министра сельского хозяйства Республики Казахстан от 3 июня 2022 года № 180 (зарегистрирован в Реестре государственной регистрации нормативных правовых актов № 28399).</w:t>
      </w:r>
    </w:p>
    <w:bookmarkEnd w:id="9"/>
    <w:bookmarkStart w:name="z19" w:id="10"/>
    <w:p>
      <w:pPr>
        <w:spacing w:after="0"/>
        <w:ind w:left="0"/>
        <w:jc w:val="both"/>
      </w:pPr>
      <w:r>
        <w:rPr>
          <w:rFonts w:ascii="Times New Roman"/>
          <w:b w:val="false"/>
          <w:i w:val="false"/>
          <w:color w:val="000000"/>
          <w:sz w:val="28"/>
        </w:rPr>
        <w:t xml:space="preserve">
      При невозможности устранения топологических ошибок в соответствии с частью первой настоящего пункта, решение спора (конфликта) по границам пересекаемых земельных участков рассматриваются в порядке, установленном </w:t>
      </w:r>
      <w:r>
        <w:rPr>
          <w:rFonts w:ascii="Times New Roman"/>
          <w:b w:val="false"/>
          <w:i w:val="false"/>
          <w:color w:val="000000"/>
          <w:sz w:val="28"/>
        </w:rPr>
        <w:t>статьей 167</w:t>
      </w:r>
      <w:r>
        <w:rPr>
          <w:rFonts w:ascii="Times New Roman"/>
          <w:b w:val="false"/>
          <w:i w:val="false"/>
          <w:color w:val="000000"/>
          <w:sz w:val="28"/>
        </w:rPr>
        <w:t xml:space="preserve"> Кодекса. </w:t>
      </w:r>
    </w:p>
    <w:bookmarkEnd w:id="10"/>
    <w:bookmarkStart w:name="z20" w:id="11"/>
    <w:p>
      <w:pPr>
        <w:spacing w:after="0"/>
        <w:ind w:left="0"/>
        <w:jc w:val="both"/>
      </w:pPr>
      <w:r>
        <w:rPr>
          <w:rFonts w:ascii="Times New Roman"/>
          <w:b w:val="false"/>
          <w:i w:val="false"/>
          <w:color w:val="000000"/>
          <w:sz w:val="28"/>
        </w:rPr>
        <w:t xml:space="preserve">
      При невозможности устранения топологических ошибок в соответствии с частью первой настоящего пункта, соответствующие данные о несоответствии местоположения границ земельных участков координатам земельного участка вносятся в слой "Границы неоформленных земельных участков" электронной земельно-кадастровой карты. </w:t>
      </w:r>
    </w:p>
    <w:bookmarkEnd w:id="11"/>
    <w:bookmarkStart w:name="z21" w:id="12"/>
    <w:p>
      <w:pPr>
        <w:spacing w:after="0"/>
        <w:ind w:left="0"/>
        <w:jc w:val="both"/>
      </w:pPr>
      <w:r>
        <w:rPr>
          <w:rFonts w:ascii="Times New Roman"/>
          <w:b w:val="false"/>
          <w:i w:val="false"/>
          <w:color w:val="000000"/>
          <w:sz w:val="28"/>
        </w:rPr>
        <w:t>
      15. При отсутствии координат границ земельного участка в земельно-кадастровых делах и в графической базе данных ИС ЕГКН проводится анализ имеющихся планов на выбранный учетный квартал и установление перечня земельных участков с отсутствующими координатами границ по историческим сведениям земельных участков.</w:t>
      </w:r>
    </w:p>
    <w:bookmarkEnd w:id="12"/>
    <w:bookmarkStart w:name="z22" w:id="13"/>
    <w:p>
      <w:pPr>
        <w:spacing w:after="0"/>
        <w:ind w:left="0"/>
        <w:jc w:val="both"/>
      </w:pPr>
      <w:r>
        <w:rPr>
          <w:rFonts w:ascii="Times New Roman"/>
          <w:b w:val="false"/>
          <w:i w:val="false"/>
          <w:color w:val="000000"/>
          <w:sz w:val="28"/>
        </w:rPr>
        <w:t>
      При наличии в выбранном учетном квартале земельных участков с отсутствующими координатами границ, не имеющих координаты поворотных точек в земельно-кадастровых делах и в графической базе данных ИС ЕГКН, проводятся полевые работы для координирования границ земельных участков в соответствии с их фактическим местоположением.</w:t>
      </w:r>
    </w:p>
    <w:bookmarkEnd w:id="13"/>
    <w:bookmarkStart w:name="z23" w:id="14"/>
    <w:p>
      <w:pPr>
        <w:spacing w:after="0"/>
        <w:ind w:left="0"/>
        <w:jc w:val="both"/>
      </w:pPr>
      <w:r>
        <w:rPr>
          <w:rFonts w:ascii="Times New Roman"/>
          <w:b w:val="false"/>
          <w:i w:val="false"/>
          <w:color w:val="000000"/>
          <w:sz w:val="28"/>
        </w:rPr>
        <w:t>
      По результатам полевых работ границы земельных участков и атрибутивные данные вносятся в слой "Границы неоформленных земельных участков" электронной земельно-кадастровой карты, который загружается в графическую базу данных ИС ЕГКН.</w:t>
      </w:r>
    </w:p>
    <w:bookmarkEnd w:id="14"/>
    <w:bookmarkStart w:name="z24" w:id="15"/>
    <w:p>
      <w:pPr>
        <w:spacing w:after="0"/>
        <w:ind w:left="0"/>
        <w:jc w:val="both"/>
      </w:pPr>
      <w:r>
        <w:rPr>
          <w:rFonts w:ascii="Times New Roman"/>
          <w:b w:val="false"/>
          <w:i w:val="false"/>
          <w:color w:val="000000"/>
          <w:sz w:val="28"/>
        </w:rPr>
        <w:t>
      При наличии земельных участков в выбранном учетном квартале, неоформленных в установленном законодательством Республики Казахстан порядке и не содержащих сведений в государственном земельном кадастре или не соответствие границ с материалами земельно-кадастровых дел, материалы направляются в соответствующее территориальное подразделение Комитета по управлению земельными ресурсами Министерства сельского хозяйства Республики Казахстан, осуществляющее государственный контроль за использованием и охраной земель для проведения соответствующих мероприятий.";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16 изложить в следующей редакции:</w:t>
      </w:r>
    </w:p>
    <w:bookmarkStart w:name="z26" w:id="16"/>
    <w:p>
      <w:pPr>
        <w:spacing w:after="0"/>
        <w:ind w:left="0"/>
        <w:jc w:val="both"/>
      </w:pPr>
      <w:r>
        <w:rPr>
          <w:rFonts w:ascii="Times New Roman"/>
          <w:b w:val="false"/>
          <w:i w:val="false"/>
          <w:color w:val="000000"/>
          <w:sz w:val="28"/>
        </w:rPr>
        <w:t>
      "4) при создании слоя "Границы оформленных земельных участков" заполнение базы геоданных границами земельных участков с кадастровыми номерами осуществляется посредством кадастровой карты ИС ЕГКН.</w:t>
      </w:r>
    </w:p>
    <w:bookmarkEnd w:id="16"/>
    <w:bookmarkStart w:name="z27" w:id="17"/>
    <w:p>
      <w:pPr>
        <w:spacing w:after="0"/>
        <w:ind w:left="0"/>
        <w:jc w:val="both"/>
      </w:pPr>
      <w:r>
        <w:rPr>
          <w:rFonts w:ascii="Times New Roman"/>
          <w:b w:val="false"/>
          <w:i w:val="false"/>
          <w:color w:val="000000"/>
          <w:sz w:val="28"/>
        </w:rPr>
        <w:t>
      После создания полигона земельного участка в атрибутивной таблице слоя "Границы оформленных земельных участков" появляется новая строка, в которой заносится информация в виде кадастрового номера в поле "Кадастровый номер". Данные по местоположению земельного участка, точный адрес земельного участка, заполняется в полях "Наименование улицы" (название улицы), "Номер объекта недвижимости" (номер дома), "Наименование улицы 1" (название пересекаемой улицы), "Номер объекта недвижимости 1" (номер дома на пересекаемой улице) (поля "Наименование улицы 1", "Номер объекта недвижимости 1" необходимы для определения земельных участков, находящихся на пересечении улиц).</w:t>
      </w:r>
    </w:p>
    <w:bookmarkEnd w:id="17"/>
    <w:bookmarkStart w:name="z28" w:id="18"/>
    <w:p>
      <w:pPr>
        <w:spacing w:after="0"/>
        <w:ind w:left="0"/>
        <w:jc w:val="both"/>
      </w:pPr>
      <w:r>
        <w:rPr>
          <w:rFonts w:ascii="Times New Roman"/>
          <w:b w:val="false"/>
          <w:i w:val="false"/>
          <w:color w:val="000000"/>
          <w:sz w:val="28"/>
        </w:rPr>
        <w:t>
      В поле "Координированный" содержится информация о координировании земельного участка (геоданные по земельным участкам заносятся с готовых земельно-кадастровых карт, выноса в натуру не было и соответственно земельный участок не координирован, вносится значение "0", если земельный участок был вынесен в натуру и координирован, вносится значение "1");</w:t>
      </w:r>
    </w:p>
    <w:bookmarkEnd w:id="18"/>
    <w:bookmarkStart w:name="z29" w:id="19"/>
    <w:p>
      <w:pPr>
        <w:spacing w:after="0"/>
        <w:ind w:left="0"/>
        <w:jc w:val="both"/>
      </w:pPr>
      <w:r>
        <w:rPr>
          <w:rFonts w:ascii="Times New Roman"/>
          <w:b w:val="false"/>
          <w:i w:val="false"/>
          <w:color w:val="000000"/>
          <w:sz w:val="28"/>
        </w:rPr>
        <w:t>
      5) границы земельных участков, не внесенных в ИС ЕГКН по причине отсутствия правоустанавливающих документов создаются в слое "Границы неоформленных земельных участков" по планово-картографическим материалам. На электронных земельно-кадастровых картах такие участки показываются условным обозначением без указания кадастрового номера, где оцифровке подлежат границы неоформленных земельных участков по планово-картографическим материалам. В случае отсутствия контуров (ограждения) участка, границы строения неоформленного земельного участка подлежат оцифровке.</w:t>
      </w:r>
    </w:p>
    <w:bookmarkEnd w:id="19"/>
    <w:bookmarkStart w:name="z30" w:id="20"/>
    <w:p>
      <w:pPr>
        <w:spacing w:after="0"/>
        <w:ind w:left="0"/>
        <w:jc w:val="both"/>
      </w:pPr>
      <w:r>
        <w:rPr>
          <w:rFonts w:ascii="Times New Roman"/>
          <w:b w:val="false"/>
          <w:i w:val="false"/>
          <w:color w:val="000000"/>
          <w:sz w:val="28"/>
        </w:rPr>
        <w:t>
      В поле "Дополнительная информация", обязательное для заполнения, заносится детальная информация по земельному участку – участок не оформлен, либо границы участка, которые отражены на карте, не соответствуют фактическим границам по контуру ограждения.</w:t>
      </w:r>
    </w:p>
    <w:bookmarkEnd w:id="20"/>
    <w:bookmarkStart w:name="z31" w:id="21"/>
    <w:p>
      <w:pPr>
        <w:spacing w:after="0"/>
        <w:ind w:left="0"/>
        <w:jc w:val="both"/>
      </w:pPr>
      <w:r>
        <w:rPr>
          <w:rFonts w:ascii="Times New Roman"/>
          <w:b w:val="false"/>
          <w:i w:val="false"/>
          <w:color w:val="000000"/>
          <w:sz w:val="28"/>
        </w:rPr>
        <w:t>
      В поле "Название" заносится фамилия, имя и отчество (при его наличии)/наименование землепользователя (по неоформленным земельным участкам (при наличии)), которое может быть отражено на карте, при распечатке карт на бумажные носители.</w:t>
      </w:r>
    </w:p>
    <w:bookmarkEnd w:id="21"/>
    <w:bookmarkStart w:name="z32" w:id="22"/>
    <w:p>
      <w:pPr>
        <w:spacing w:after="0"/>
        <w:ind w:left="0"/>
        <w:jc w:val="both"/>
      </w:pPr>
      <w:r>
        <w:rPr>
          <w:rFonts w:ascii="Times New Roman"/>
          <w:b w:val="false"/>
          <w:i w:val="false"/>
          <w:color w:val="000000"/>
          <w:sz w:val="28"/>
        </w:rPr>
        <w:t>
      В поле "Наименование целевого назначения" заносится целевое назначение земельного участка.</w:t>
      </w:r>
    </w:p>
    <w:bookmarkEnd w:id="22"/>
    <w:bookmarkStart w:name="z33" w:id="23"/>
    <w:p>
      <w:pPr>
        <w:spacing w:after="0"/>
        <w:ind w:left="0"/>
        <w:jc w:val="both"/>
      </w:pPr>
      <w:r>
        <w:rPr>
          <w:rFonts w:ascii="Times New Roman"/>
          <w:b w:val="false"/>
          <w:i w:val="false"/>
          <w:color w:val="000000"/>
          <w:sz w:val="28"/>
        </w:rPr>
        <w:t>
      Поле "Код улицы" содержит закодированную информацию о наименовании улиц населенного пункта.</w:t>
      </w:r>
    </w:p>
    <w:bookmarkEnd w:id="23"/>
    <w:bookmarkStart w:name="z34" w:id="24"/>
    <w:p>
      <w:pPr>
        <w:spacing w:after="0"/>
        <w:ind w:left="0"/>
        <w:jc w:val="both"/>
      </w:pPr>
      <w:r>
        <w:rPr>
          <w:rFonts w:ascii="Times New Roman"/>
          <w:b w:val="false"/>
          <w:i w:val="false"/>
          <w:color w:val="000000"/>
          <w:sz w:val="28"/>
        </w:rPr>
        <w:t>
      Поле "Дата создания" содержит информацию о дате создания данного земельного участка.</w:t>
      </w:r>
    </w:p>
    <w:bookmarkEnd w:id="24"/>
    <w:bookmarkStart w:name="z35" w:id="25"/>
    <w:p>
      <w:pPr>
        <w:spacing w:after="0"/>
        <w:ind w:left="0"/>
        <w:jc w:val="both"/>
      </w:pPr>
      <w:r>
        <w:rPr>
          <w:rFonts w:ascii="Times New Roman"/>
          <w:b w:val="false"/>
          <w:i w:val="false"/>
          <w:color w:val="000000"/>
          <w:sz w:val="28"/>
        </w:rPr>
        <w:t>
      Поле "Дата удаления" содержит информацию о дате удаления земельного участка из базы геоданных.";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"18. Электронные земельно-кадастровые карты оформляются в масштабе 1:2000, с распечаткой их на бумажных носителях для сдачи готовой продукции. При невозможности размещения квартала на одном печатном листе формата А0, земельно-кадастровая карта разбивается на необходимое количество листов с указанием их количества в угловом штампе. На электронных земельно-кадастровых картах объекты отображаются с соответствующей масштабу точностью и полнотой их характеристики.";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9" w:id="27"/>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7"/>
    <w:bookmarkStart w:name="z40"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41" w:id="29"/>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9"/>
    <w:bookmarkStart w:name="z42"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0"/>
    <w:bookmarkStart w:name="z43"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45"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416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созданию</w:t>
            </w:r>
            <w:r>
              <w:br/>
            </w:r>
            <w:r>
              <w:rPr>
                <w:rFonts w:ascii="Times New Roman"/>
                <w:b w:val="false"/>
                <w:i w:val="false"/>
                <w:color w:val="000000"/>
                <w:sz w:val="20"/>
              </w:rPr>
              <w:t>электронных</w:t>
            </w:r>
            <w:r>
              <w:br/>
            </w:r>
            <w:r>
              <w:rPr>
                <w:rFonts w:ascii="Times New Roman"/>
                <w:b w:val="false"/>
                <w:i w:val="false"/>
                <w:color w:val="000000"/>
                <w:sz w:val="20"/>
              </w:rPr>
              <w:t>земельно-кадастровых карт</w:t>
            </w:r>
          </w:p>
        </w:tc>
      </w:tr>
    </w:tbl>
    <w:bookmarkStart w:name="z48" w:id="33"/>
    <w:p>
      <w:pPr>
        <w:spacing w:after="0"/>
        <w:ind w:left="0"/>
        <w:jc w:val="left"/>
      </w:pPr>
      <w:r>
        <w:rPr>
          <w:rFonts w:ascii="Times New Roman"/>
          <w:b/>
          <w:i w:val="false"/>
          <w:color w:val="000000"/>
        </w:rPr>
        <w:t xml:space="preserve"> Структура слоев кадастрового набора данных</w:t>
      </w:r>
    </w:p>
    <w:bookmarkEnd w:id="33"/>
    <w:bookmarkStart w:name="z49" w:id="34"/>
    <w:p>
      <w:pPr>
        <w:spacing w:after="0"/>
        <w:ind w:left="0"/>
        <w:jc w:val="both"/>
      </w:pPr>
      <w:r>
        <w:rPr>
          <w:rFonts w:ascii="Times New Roman"/>
          <w:b w:val="false"/>
          <w:i w:val="false"/>
          <w:color w:val="000000"/>
          <w:sz w:val="28"/>
        </w:rPr>
        <w:t>
      1. Слой "Границы области, города республиканского значения и столицы" – "O __ код региона ___ код района (города)"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p>
            <w:pPr>
              <w:spacing w:after="20"/>
              <w:ind w:left="20"/>
              <w:jc w:val="both"/>
            </w:pPr>
            <w:r>
              <w:rPr>
                <w:rFonts w:ascii="Times New Roman"/>
                <w:b w:val="false"/>
                <w:i w:val="false"/>
                <w:color w:val="000000"/>
                <w:sz w:val="20"/>
              </w:rPr>
              <w:t>(далее -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5"/>
    <w:p>
      <w:pPr>
        <w:spacing w:after="0"/>
        <w:ind w:left="0"/>
        <w:jc w:val="both"/>
      </w:pPr>
      <w:r>
        <w:rPr>
          <w:rFonts w:ascii="Times New Roman"/>
          <w:b w:val="false"/>
          <w:i w:val="false"/>
          <w:color w:val="000000"/>
          <w:sz w:val="28"/>
        </w:rPr>
        <w:t>
      2. Слой "Административные границы района и города районного и областного значения" – "R ___ код регион __ код района (города)"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6"/>
    <w:p>
      <w:pPr>
        <w:spacing w:after="0"/>
        <w:ind w:left="0"/>
        <w:jc w:val="both"/>
      </w:pPr>
      <w:r>
        <w:rPr>
          <w:rFonts w:ascii="Times New Roman"/>
          <w:b w:val="false"/>
          <w:i w:val="false"/>
          <w:color w:val="000000"/>
          <w:sz w:val="28"/>
        </w:rPr>
        <w:t>
      3. Слой "Границы учетного квартала" – "UK ___ код региона __ код района (города)"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квартала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7"/>
    <w:p>
      <w:pPr>
        <w:spacing w:after="0"/>
        <w:ind w:left="0"/>
        <w:jc w:val="both"/>
      </w:pPr>
      <w:r>
        <w:rPr>
          <w:rFonts w:ascii="Times New Roman"/>
          <w:b w:val="false"/>
          <w:i w:val="false"/>
          <w:color w:val="000000"/>
          <w:sz w:val="28"/>
        </w:rPr>
        <w:t>
      4. Слой "Границы оформленных земельных участков" – "U __ код региона __ код района (города)"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(адрес)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(квадратный метр) по правоустанавливающему документу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внесения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8"/>
    <w:p>
      <w:pPr>
        <w:spacing w:after="0"/>
        <w:ind w:left="0"/>
        <w:jc w:val="both"/>
      </w:pPr>
      <w:r>
        <w:rPr>
          <w:rFonts w:ascii="Times New Roman"/>
          <w:b w:val="false"/>
          <w:i w:val="false"/>
          <w:color w:val="000000"/>
          <w:sz w:val="28"/>
        </w:rPr>
        <w:t>
      5. Слой "Границы неоформленных земельных участков" – "NU __ код региона __ код района (города)"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416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созданию</w:t>
            </w:r>
            <w:r>
              <w:br/>
            </w:r>
            <w:r>
              <w:rPr>
                <w:rFonts w:ascii="Times New Roman"/>
                <w:b w:val="false"/>
                <w:i w:val="false"/>
                <w:color w:val="000000"/>
                <w:sz w:val="20"/>
              </w:rPr>
              <w:t>электронных</w:t>
            </w:r>
            <w:r>
              <w:br/>
            </w:r>
            <w:r>
              <w:rPr>
                <w:rFonts w:ascii="Times New Roman"/>
                <w:b w:val="false"/>
                <w:i w:val="false"/>
                <w:color w:val="000000"/>
                <w:sz w:val="20"/>
              </w:rPr>
              <w:t>земельно-кадастровых карт</w:t>
            </w:r>
          </w:p>
        </w:tc>
      </w:tr>
    </w:tbl>
    <w:bookmarkStart w:name="z56" w:id="39"/>
    <w:p>
      <w:pPr>
        <w:spacing w:after="0"/>
        <w:ind w:left="0"/>
        <w:jc w:val="left"/>
      </w:pPr>
      <w:r>
        <w:rPr>
          <w:rFonts w:ascii="Times New Roman"/>
          <w:b/>
          <w:i w:val="false"/>
          <w:color w:val="000000"/>
        </w:rPr>
        <w:t xml:space="preserve"> Структура слоев адресного набора данных</w:t>
      </w:r>
    </w:p>
    <w:bookmarkEnd w:id="39"/>
    <w:bookmarkStart w:name="z57" w:id="40"/>
    <w:p>
      <w:pPr>
        <w:spacing w:after="0"/>
        <w:ind w:left="0"/>
        <w:jc w:val="both"/>
      </w:pPr>
      <w:r>
        <w:rPr>
          <w:rFonts w:ascii="Times New Roman"/>
          <w:b w:val="false"/>
          <w:i w:val="false"/>
          <w:color w:val="000000"/>
          <w:sz w:val="28"/>
        </w:rPr>
        <w:t>
      1. Слой "Административные границы области, города республиканского значения и столицы" – "Aо __ код региона __ код района (города)"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 (далее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1"/>
    <w:p>
      <w:pPr>
        <w:spacing w:after="0"/>
        <w:ind w:left="0"/>
        <w:jc w:val="both"/>
      </w:pPr>
      <w:r>
        <w:rPr>
          <w:rFonts w:ascii="Times New Roman"/>
          <w:b w:val="false"/>
          <w:i w:val="false"/>
          <w:color w:val="000000"/>
          <w:sz w:val="28"/>
        </w:rPr>
        <w:t>
      2. Слой "Административные границы района и города районного и областного значения" – "Ar __ код региона __ код района (города)"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2"/>
    <w:p>
      <w:pPr>
        <w:spacing w:after="0"/>
        <w:ind w:left="0"/>
        <w:jc w:val="both"/>
      </w:pPr>
      <w:r>
        <w:rPr>
          <w:rFonts w:ascii="Times New Roman"/>
          <w:b w:val="false"/>
          <w:i w:val="false"/>
          <w:color w:val="000000"/>
          <w:sz w:val="28"/>
        </w:rPr>
        <w:t>
      3. Слой "Границы сельского округа" – "So __ код региона __ код района (города)"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 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3"/>
    <w:p>
      <w:pPr>
        <w:spacing w:after="0"/>
        <w:ind w:left="0"/>
        <w:jc w:val="both"/>
      </w:pPr>
      <w:r>
        <w:rPr>
          <w:rFonts w:ascii="Times New Roman"/>
          <w:b w:val="false"/>
          <w:i w:val="false"/>
          <w:color w:val="000000"/>
          <w:sz w:val="28"/>
        </w:rPr>
        <w:t>
      4. Слой "Границы населенного пункта" – "N __ код региона __ код района (города)"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установления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об утверждении границ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(указывается базовая ставка населенного пункта от которого исчисляется)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 базовой ставки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 базовой ставки (указывается коэффициент от базовой ставки населенного пункта от которого исчисляется)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4"/>
    <w:p>
      <w:pPr>
        <w:spacing w:after="0"/>
        <w:ind w:left="0"/>
        <w:jc w:val="both"/>
      </w:pPr>
      <w:r>
        <w:rPr>
          <w:rFonts w:ascii="Times New Roman"/>
          <w:b w:val="false"/>
          <w:i w:val="false"/>
          <w:color w:val="000000"/>
          <w:sz w:val="28"/>
        </w:rPr>
        <w:t>
      5. Слой "Границы составных частей населенного пункта" – "M __ код региона __ код района (города)"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5"/>
    <w:p>
      <w:pPr>
        <w:spacing w:after="0"/>
        <w:ind w:left="0"/>
        <w:jc w:val="both"/>
      </w:pPr>
      <w:r>
        <w:rPr>
          <w:rFonts w:ascii="Times New Roman"/>
          <w:b w:val="false"/>
          <w:i w:val="false"/>
          <w:color w:val="000000"/>
          <w:sz w:val="28"/>
        </w:rPr>
        <w:t>
      6. Слой "Геонимы" – "G __ код региона __ код района (города)"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6"/>
    <w:p>
      <w:pPr>
        <w:spacing w:after="0"/>
        <w:ind w:left="0"/>
        <w:jc w:val="both"/>
      </w:pPr>
      <w:r>
        <w:rPr>
          <w:rFonts w:ascii="Times New Roman"/>
          <w:b w:val="false"/>
          <w:i w:val="false"/>
          <w:color w:val="000000"/>
          <w:sz w:val="28"/>
        </w:rPr>
        <w:t>
      7. Слой "Границы объектов недвижимости"– "Ned __ код региона __ код района (города)"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объекта Связывание и встраивание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 недвижимости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целое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 адреса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 адреса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416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созданию</w:t>
            </w:r>
            <w:r>
              <w:br/>
            </w:r>
            <w:r>
              <w:rPr>
                <w:rFonts w:ascii="Times New Roman"/>
                <w:b w:val="false"/>
                <w:i w:val="false"/>
                <w:color w:val="000000"/>
                <w:sz w:val="20"/>
              </w:rPr>
              <w:t>электронных</w:t>
            </w:r>
            <w:r>
              <w:br/>
            </w:r>
            <w:r>
              <w:rPr>
                <w:rFonts w:ascii="Times New Roman"/>
                <w:b w:val="false"/>
                <w:i w:val="false"/>
                <w:color w:val="000000"/>
                <w:sz w:val="20"/>
              </w:rPr>
              <w:t>земельно-кадастровых карт</w:t>
            </w:r>
          </w:p>
        </w:tc>
      </w:tr>
    </w:tbl>
    <w:bookmarkStart w:name="z66" w:id="47"/>
    <w:p>
      <w:pPr>
        <w:spacing w:after="0"/>
        <w:ind w:left="0"/>
        <w:jc w:val="left"/>
      </w:pPr>
      <w:r>
        <w:rPr>
          <w:rFonts w:ascii="Times New Roman"/>
          <w:b/>
          <w:i w:val="false"/>
          <w:color w:val="000000"/>
        </w:rPr>
        <w:t xml:space="preserve"> Условные знаки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условного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условного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0,5 миллиметров (далее – мм) (длина пунктира 2,4 мм, интервал между пунктирами 0,8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0,4 мм (длина пунктира 2,0 мм, интервал между пунктирами 2,4 мм) с двумя разделяющими точками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административного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p>
          <w:bookmarkEnd w:id="48"/>
          <w:p>
            <w:pPr>
              <w:spacing w:after="20"/>
              <w:ind w:left="2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0,4 мм (длина пунктира 2,4 мм, интервал между пунктирами 2,0 мм) с разделяющей точкой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558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черного цвета 0,3 мм (длина пунктира 5,0 мм, интервал между пунктирами 5,0 мм) с тремя разделяющими точками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 (при отсутствии на картографической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шрифта Times New Roman, полужирный, высота шрифта 3,0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кадастровой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828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зеленого цвета, толщиной 0,8 мм, интервал между штрихами 2 мм, длина штриха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кадастрового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желтого цвета, толщиной 0,8 мм, интервал между штрихами 2 мм, длина штриха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голубого цвета, толщиной 0,8 мм, интервал между штрихами 2 мм, длина штриха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номера кадастровой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цифры зеленого цвета, высота 6,0 мм, тип полужирный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номера кадастрового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цифры желтого цвета, высота 5,0 мм, тип полужирный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номера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цифры голубого цвета, высота 4,0 мм, тип полужирный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земельных участков, внесенные в Единый государственный реестр земель отражающиеся в масштабе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черного цвета, толщиной 0,3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неоформленных земельных участков,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красного цвета, толщиной 0,3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несоответствующих земельных участков,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зеленого цвета, толщиной 0,3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Строения жилые и нежилые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желтого цвета ширина 10 мм, высота 2 и 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оформленного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986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черного цвета толщиной 0,3 мм с голубой заливкой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неоформленного земельного участка,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986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красного цвета толщиной 0,3 мм с светло-коричневой заливкой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земельного участка, который не соответствует с оформленным земельным участком, слой NU_**_***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986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зеленого цвета толщиной 0,3 мм с светло-зеленого заливкой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(улицы, дороги) слой G_**_***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93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толщиной 1,0 мм, цвет коричневый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