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b87d" w14:textId="0fdb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регулирования банковской деятельности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29 декабря 2023 года № 99. Зарегистрирован в Министерстве юстиции Республики Казахстан 3 января 2024 года № 33879.</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(зарегистрировано в Реестре государственной регистрации нормативных правовых актов под № 19632)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банков второго уровня, филиалов банков-нерезидентов Республики Казахстан,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98</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"98. Банк обеспечивает наличие системы внутреннего контроля, которая соответствует текущей рыночной ситуации, стратегии, объему активов, уровню сложности операций банка. Внутренний контроль – процесс, встроенный в повседневную деятельность, осуществляемую уполномоченными коллегиальными органами банка, структурными подразделениями и всеми работниками банка при исполнении своих обязанностей, и направленный на выполнение следующих целей:</w:t>
      </w:r>
    </w:p>
    <w:bookmarkEnd w:id="3"/>
    <w:bookmarkStart w:name="z9" w:id="4"/>
    <w:p>
      <w:pPr>
        <w:spacing w:after="0"/>
        <w:ind w:left="0"/>
        <w:jc w:val="both"/>
      </w:pPr>
      <w:r>
        <w:rPr>
          <w:rFonts w:ascii="Times New Roman"/>
          <w:b w:val="false"/>
          <w:i w:val="false"/>
          <w:color w:val="000000"/>
          <w:sz w:val="28"/>
        </w:rPr>
        <w:t>
      1) обеспечение эффективности деятельности банка, включая эффективность управления банковскими рисками, активами и пассивами, обеспечение сохранности активов;</w:t>
      </w:r>
    </w:p>
    <w:bookmarkEnd w:id="4"/>
    <w:bookmarkStart w:name="z10" w:id="5"/>
    <w:p>
      <w:pPr>
        <w:spacing w:after="0"/>
        <w:ind w:left="0"/>
        <w:jc w:val="both"/>
      </w:pPr>
      <w:r>
        <w:rPr>
          <w:rFonts w:ascii="Times New Roman"/>
          <w:b w:val="false"/>
          <w:i w:val="false"/>
          <w:color w:val="000000"/>
          <w:sz w:val="28"/>
        </w:rPr>
        <w:t>
      2) обеспечение полноты, достоверности и своевременности финансовой, регуляторной и другой отчетности для внутренних и внешних пользователей, а также информационной безопасности;</w:t>
      </w:r>
    </w:p>
    <w:bookmarkEnd w:id="5"/>
    <w:bookmarkStart w:name="z11" w:id="6"/>
    <w:p>
      <w:pPr>
        <w:spacing w:after="0"/>
        <w:ind w:left="0"/>
        <w:jc w:val="both"/>
      </w:pPr>
      <w:r>
        <w:rPr>
          <w:rFonts w:ascii="Times New Roman"/>
          <w:b w:val="false"/>
          <w:i w:val="false"/>
          <w:color w:val="000000"/>
          <w:sz w:val="28"/>
        </w:rPr>
        <w:t>
      3) обеспечение соблюдения банком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документов банка;</w:t>
      </w:r>
    </w:p>
    <w:bookmarkEnd w:id="6"/>
    <w:bookmarkStart w:name="z12" w:id="7"/>
    <w:p>
      <w:pPr>
        <w:spacing w:after="0"/>
        <w:ind w:left="0"/>
        <w:jc w:val="both"/>
      </w:pPr>
      <w:r>
        <w:rPr>
          <w:rFonts w:ascii="Times New Roman"/>
          <w:b w:val="false"/>
          <w:i w:val="false"/>
          <w:color w:val="000000"/>
          <w:sz w:val="28"/>
        </w:rPr>
        <w:t>
      4) недопущение вовлечения банка и его работников, клиентов банка в осуществление противоправной деятельности, в том числе мошенничества, обмана, ОД/ФТ, незаконного производства, оборота и (или) транзита наркотиков, в осуществление операций на территории Республики Казахстан, связанных с проведением операций, имеющих высокий риск ОД/ФТ, в осуществление операций на территории Республики Казахстан, связанных с дальнейшим приобретением необеспеченных цифровых активов на биржах цифровых активов, не являющихся участниками Международного финансового центра "Астана", оказывающими услуги по управлению платформой цифровых активов, в осуществление платежей и (или) переводов денег в пользу электронного казино и интернет-казино, а также в осуществление платежей и (или) переводов денег физическими лицами, не достигшими возраста двадцати одного года, в пользу организатора игорного бизнеса.</w:t>
      </w:r>
    </w:p>
    <w:bookmarkEnd w:id="7"/>
    <w:bookmarkStart w:name="z13" w:id="8"/>
    <w:p>
      <w:pPr>
        <w:spacing w:after="0"/>
        <w:ind w:left="0"/>
        <w:jc w:val="both"/>
      </w:pPr>
      <w:r>
        <w:rPr>
          <w:rFonts w:ascii="Times New Roman"/>
          <w:b w:val="false"/>
          <w:i w:val="false"/>
          <w:color w:val="000000"/>
          <w:sz w:val="28"/>
        </w:rPr>
        <w:t>
      В отношении клиентов банка, являющихся держателями десяти и более платежных карточек, выпущенных данным банком, и (или) резидентами стран с высоким риском ОД/ФТ на основе фактора незаконного производства, оборота и (или) транзита наркотиков, а также в случае наличия подозрений о том, что деловые отношения используются клиентом в целях незаконного производства, оборота и (или) транзита наркотиков, банк осуществляет оценку риска ОД/ФТ. В случае присвоения таким клиентам высокого уровня риска ОД/ФТ банк применяет усиленные меры надлежащей проверки таких клиентов и отвечает за:</w:t>
      </w:r>
    </w:p>
    <w:bookmarkEnd w:id="8"/>
    <w:bookmarkStart w:name="z14" w:id="9"/>
    <w:p>
      <w:pPr>
        <w:spacing w:after="0"/>
        <w:ind w:left="0"/>
        <w:jc w:val="both"/>
      </w:pPr>
      <w:r>
        <w:rPr>
          <w:rFonts w:ascii="Times New Roman"/>
          <w:b w:val="false"/>
          <w:i w:val="false"/>
          <w:color w:val="000000"/>
          <w:sz w:val="28"/>
        </w:rPr>
        <w:t>
      обеспечение проведения проверки источника происхождения средств клиентов банка;</w:t>
      </w:r>
    </w:p>
    <w:bookmarkEnd w:id="9"/>
    <w:bookmarkStart w:name="z15" w:id="10"/>
    <w:p>
      <w:pPr>
        <w:spacing w:after="0"/>
        <w:ind w:left="0"/>
        <w:jc w:val="both"/>
      </w:pPr>
      <w:r>
        <w:rPr>
          <w:rFonts w:ascii="Times New Roman"/>
          <w:b w:val="false"/>
          <w:i w:val="false"/>
          <w:color w:val="000000"/>
          <w:sz w:val="28"/>
        </w:rPr>
        <w:t>
      принятие мер,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при выявлении подозрительных операций;</w:t>
      </w:r>
    </w:p>
    <w:bookmarkEnd w:id="10"/>
    <w:bookmarkStart w:name="z16" w:id="11"/>
    <w:p>
      <w:pPr>
        <w:spacing w:after="0"/>
        <w:ind w:left="0"/>
        <w:jc w:val="both"/>
      </w:pPr>
      <w:r>
        <w:rPr>
          <w:rFonts w:ascii="Times New Roman"/>
          <w:b w:val="false"/>
          <w:i w:val="false"/>
          <w:color w:val="000000"/>
          <w:sz w:val="28"/>
        </w:rPr>
        <w:t>
      осуществление мониторинга и изучение операций с деньгами клиентов банка;</w:t>
      </w:r>
    </w:p>
    <w:bookmarkEnd w:id="11"/>
    <w:bookmarkStart w:name="z17" w:id="12"/>
    <w:p>
      <w:pPr>
        <w:spacing w:after="0"/>
        <w:ind w:left="0"/>
        <w:jc w:val="both"/>
      </w:pPr>
      <w:r>
        <w:rPr>
          <w:rFonts w:ascii="Times New Roman"/>
          <w:b w:val="false"/>
          <w:i w:val="false"/>
          <w:color w:val="000000"/>
          <w:sz w:val="28"/>
        </w:rPr>
        <w:t>
      принятие мер в отношении нерезидентов Республики Казахстан по установлению цели и характера деловых отношений путем затребования документов, подтверждающих обоснованность нахождения в Республике Казахстан (трудового договора, договора обучения, вида на жительство иностранца в Республике Казахстан и других документов);</w:t>
      </w:r>
    </w:p>
    <w:bookmarkEnd w:id="12"/>
    <w:bookmarkStart w:name="z18" w:id="13"/>
    <w:p>
      <w:pPr>
        <w:spacing w:after="0"/>
        <w:ind w:left="0"/>
        <w:jc w:val="both"/>
      </w:pPr>
      <w:r>
        <w:rPr>
          <w:rFonts w:ascii="Times New Roman"/>
          <w:b w:val="false"/>
          <w:i w:val="false"/>
          <w:color w:val="000000"/>
          <w:sz w:val="28"/>
        </w:rPr>
        <w:t>
      обновление сведений о клиенте (его представителе) в соответствии с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3"/>
    <w:bookmarkStart w:name="z19" w:id="14"/>
    <w:p>
      <w:pPr>
        <w:spacing w:after="0"/>
        <w:ind w:left="0"/>
        <w:jc w:val="both"/>
      </w:pPr>
      <w:r>
        <w:rPr>
          <w:rFonts w:ascii="Times New Roman"/>
          <w:b w:val="false"/>
          <w:i w:val="false"/>
          <w:color w:val="000000"/>
          <w:sz w:val="28"/>
        </w:rPr>
        <w:t xml:space="preserve">
      направление информации в уполномоченный орган по финансовому мониторингу по клиентам банка, являющимся держателями десяти и более платежных карточек, выпущенных данным банком; </w:t>
      </w:r>
    </w:p>
    <w:bookmarkEnd w:id="14"/>
    <w:bookmarkStart w:name="z20" w:id="15"/>
    <w:p>
      <w:pPr>
        <w:spacing w:after="0"/>
        <w:ind w:left="0"/>
        <w:jc w:val="both"/>
      </w:pPr>
      <w:r>
        <w:rPr>
          <w:rFonts w:ascii="Times New Roman"/>
          <w:b w:val="false"/>
          <w:i w:val="false"/>
          <w:color w:val="000000"/>
          <w:sz w:val="28"/>
        </w:rPr>
        <w:t>
      прекращение деловых отношений с клиентами банка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5"/>
    <w:bookmarkStart w:name="z21" w:id="16"/>
    <w:p>
      <w:pPr>
        <w:spacing w:after="0"/>
        <w:ind w:left="0"/>
        <w:jc w:val="both"/>
      </w:pPr>
      <w:r>
        <w:rPr>
          <w:rFonts w:ascii="Times New Roman"/>
          <w:b w:val="false"/>
          <w:i w:val="false"/>
          <w:color w:val="000000"/>
          <w:sz w:val="28"/>
        </w:rPr>
        <w:t>
      В отношении участника Международного финансового центра "Астана", оказывающего услуги по управлению платформой цифровых активов, банк осуществляет оценку риска ОД/ФТ. При присвоении участнику Международного финансового центра "Астана", оказывающему услуги по управлению платформой цифровых активов, высокого уровня риска ОД/ФТ банк применяет усиленные меры надлежащей проверки клиентов, а также при проведении банковских операций отвечает за:</w:t>
      </w:r>
    </w:p>
    <w:bookmarkEnd w:id="16"/>
    <w:bookmarkStart w:name="z22" w:id="17"/>
    <w:p>
      <w:pPr>
        <w:spacing w:after="0"/>
        <w:ind w:left="0"/>
        <w:jc w:val="both"/>
      </w:pPr>
      <w:r>
        <w:rPr>
          <w:rFonts w:ascii="Times New Roman"/>
          <w:b w:val="false"/>
          <w:i w:val="false"/>
          <w:color w:val="000000"/>
          <w:sz w:val="28"/>
        </w:rPr>
        <w:t>
      проведение оценки степени подверженности услуг (продуктов), предоставляемых участнику Международного финансового центра "Астана", оказывающему услуги по управлению платформой цифровых активов, рискам ОД/ФТ;</w:t>
      </w:r>
    </w:p>
    <w:bookmarkEnd w:id="17"/>
    <w:bookmarkStart w:name="z23" w:id="18"/>
    <w:p>
      <w:pPr>
        <w:spacing w:after="0"/>
        <w:ind w:left="0"/>
        <w:jc w:val="both"/>
      </w:pPr>
      <w:r>
        <w:rPr>
          <w:rFonts w:ascii="Times New Roman"/>
          <w:b w:val="false"/>
          <w:i w:val="false"/>
          <w:color w:val="000000"/>
          <w:sz w:val="28"/>
        </w:rPr>
        <w:t>
      проведение процедур по надлежащей проверке при установлении деловых отношений, которые включают помимо мер по надлежащей проверке, предусмотренных для клиентов, дополнительно меры по получению и фиксированию сведений о репутации и характере деятельности участника Международного финансового центра "Астана", оказывающего услуги по управлению платформой цифровых активов, применении в отношении него мер со стороны Комитета Международного финансового центра "Астана" по регулированию финансовых услуг;</w:t>
      </w:r>
    </w:p>
    <w:bookmarkEnd w:id="18"/>
    <w:bookmarkStart w:name="z24" w:id="19"/>
    <w:p>
      <w:pPr>
        <w:spacing w:after="0"/>
        <w:ind w:left="0"/>
        <w:jc w:val="both"/>
      </w:pPr>
      <w:r>
        <w:rPr>
          <w:rFonts w:ascii="Times New Roman"/>
          <w:b w:val="false"/>
          <w:i w:val="false"/>
          <w:color w:val="000000"/>
          <w:sz w:val="28"/>
        </w:rPr>
        <w:t>
      прекращение деловых отношений с участником Международного финансового центра "Астана", оказывающим услуги по управлению платформой цифровых активов, в случаях, выявления банком фактов использования участником Международного финансового центра "Астана", оказывающим услуги по управлению платформой цифровых активов, счетов, находящихся в банке-ширме;</w:t>
      </w:r>
    </w:p>
    <w:bookmarkEnd w:id="19"/>
    <w:bookmarkStart w:name="z25" w:id="20"/>
    <w:p>
      <w:pPr>
        <w:spacing w:after="0"/>
        <w:ind w:left="0"/>
        <w:jc w:val="both"/>
      </w:pPr>
      <w:r>
        <w:rPr>
          <w:rFonts w:ascii="Times New Roman"/>
          <w:b w:val="false"/>
          <w:i w:val="false"/>
          <w:color w:val="000000"/>
          <w:sz w:val="28"/>
        </w:rPr>
        <w:t>
      отказ в установлении или прекращение деловых отношений с участником Международного финансового центра "Астана", оказывающим услуги по управлению платформой цифровых активов, учредители которого зарегистрированы на территории иностранного государства:</w:t>
      </w:r>
    </w:p>
    <w:bookmarkEnd w:id="20"/>
    <w:bookmarkStart w:name="z26" w:id="21"/>
    <w:p>
      <w:pPr>
        <w:spacing w:after="0"/>
        <w:ind w:left="0"/>
        <w:jc w:val="both"/>
      </w:pPr>
      <w:r>
        <w:rPr>
          <w:rFonts w:ascii="Times New Roman"/>
          <w:b w:val="false"/>
          <w:i w:val="false"/>
          <w:color w:val="000000"/>
          <w:sz w:val="28"/>
        </w:rPr>
        <w:t>
      включенного в перечень государств (территорий), не выполняющих либо недостаточно выполняющих рекомендации Группы разработки финансовых мер борьбы с отмыванием денег (ФAТФ), составляемый уполномоченным органом по финансовому мониторингу;</w:t>
      </w:r>
    </w:p>
    <w:bookmarkEnd w:id="21"/>
    <w:bookmarkStart w:name="z27" w:id="22"/>
    <w:p>
      <w:pPr>
        <w:spacing w:after="0"/>
        <w:ind w:left="0"/>
        <w:jc w:val="both"/>
      </w:pPr>
      <w:r>
        <w:rPr>
          <w:rFonts w:ascii="Times New Roman"/>
          <w:b w:val="false"/>
          <w:i w:val="false"/>
          <w:color w:val="000000"/>
          <w:sz w:val="28"/>
        </w:rPr>
        <w:t>
      в отношении которого применяются международные санкции в соответствии с резолюциями Совета Безопасности Организации Объединенных Наций;</w:t>
      </w:r>
    </w:p>
    <w:bookmarkEnd w:id="22"/>
    <w:bookmarkStart w:name="z28" w:id="23"/>
    <w:p>
      <w:pPr>
        <w:spacing w:after="0"/>
        <w:ind w:left="0"/>
        <w:jc w:val="both"/>
      </w:pPr>
      <w:r>
        <w:rPr>
          <w:rFonts w:ascii="Times New Roman"/>
          <w:b w:val="false"/>
          <w:i w:val="false"/>
          <w:color w:val="000000"/>
          <w:sz w:val="28"/>
        </w:rPr>
        <w:t xml:space="preserve">
      включенного в перечень офшорных зон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p>
    <w:bookmarkEnd w:id="23"/>
    <w:bookmarkStart w:name="z29" w:id="24"/>
    <w:p>
      <w:pPr>
        <w:spacing w:after="0"/>
        <w:ind w:left="0"/>
        <w:jc w:val="both"/>
      </w:pPr>
      <w:r>
        <w:rPr>
          <w:rFonts w:ascii="Times New Roman"/>
          <w:b w:val="false"/>
          <w:i w:val="false"/>
          <w:color w:val="000000"/>
          <w:sz w:val="28"/>
        </w:rPr>
        <w:t>
      определенного банком в качестве представляющего высокий риск ОД/ФТ на основе других факторов (сведений об уровне коррупции, незаконного производства, оборота и (или) транзита наркотиков, сведений о поддержке международного терроризма и другое).</w:t>
      </w:r>
    </w:p>
    <w:bookmarkEnd w:id="24"/>
    <w:bookmarkStart w:name="z30" w:id="25"/>
    <w:p>
      <w:pPr>
        <w:spacing w:after="0"/>
        <w:ind w:left="0"/>
        <w:jc w:val="both"/>
      </w:pPr>
      <w:r>
        <w:rPr>
          <w:rFonts w:ascii="Times New Roman"/>
          <w:b w:val="false"/>
          <w:i w:val="false"/>
          <w:color w:val="000000"/>
          <w:sz w:val="28"/>
        </w:rPr>
        <w:t>
      осуществление мониторинга и изучение операций с деньгами участника Международного финансового центра "Астана", оказывающего услуги по управлению платформой цифровых активов, а также предотвращение незаконного вывода средств за рубеж, в том числе в офшорные зоны;</w:t>
      </w:r>
    </w:p>
    <w:bookmarkEnd w:id="25"/>
    <w:bookmarkStart w:name="z31" w:id="26"/>
    <w:p>
      <w:pPr>
        <w:spacing w:after="0"/>
        <w:ind w:left="0"/>
        <w:jc w:val="both"/>
      </w:pPr>
      <w:r>
        <w:rPr>
          <w:rFonts w:ascii="Times New Roman"/>
          <w:b w:val="false"/>
          <w:i w:val="false"/>
          <w:color w:val="000000"/>
          <w:sz w:val="28"/>
        </w:rPr>
        <w:t>
      принятие мер,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при выявлении подозрительных операций с деньгами и (или) иным имуществом (далее – подозрительные операции);</w:t>
      </w:r>
    </w:p>
    <w:bookmarkEnd w:id="26"/>
    <w:bookmarkStart w:name="z32" w:id="27"/>
    <w:p>
      <w:pPr>
        <w:spacing w:after="0"/>
        <w:ind w:left="0"/>
        <w:jc w:val="both"/>
      </w:pPr>
      <w:r>
        <w:rPr>
          <w:rFonts w:ascii="Times New Roman"/>
          <w:b w:val="false"/>
          <w:i w:val="false"/>
          <w:color w:val="000000"/>
          <w:sz w:val="28"/>
        </w:rPr>
        <w:t>
      прекращение деловых отношений с участником Международного финансового центра "Астана", оказывающим услуги по управлению платформой цифровых активов,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27"/>
    <w:bookmarkStart w:name="z33" w:id="28"/>
    <w:p>
      <w:pPr>
        <w:spacing w:after="0"/>
        <w:ind w:left="0"/>
        <w:jc w:val="both"/>
      </w:pPr>
      <w:r>
        <w:rPr>
          <w:rFonts w:ascii="Times New Roman"/>
          <w:b w:val="false"/>
          <w:i w:val="false"/>
          <w:color w:val="000000"/>
          <w:sz w:val="28"/>
        </w:rPr>
        <w:t>
      обеспечение проведения проверки источника происхождения средств участника Международного финансового центра "Астана", оказывающего услуги по управлению платформой цифровых активов, при пополнении банковского счета;</w:t>
      </w:r>
    </w:p>
    <w:bookmarkEnd w:id="28"/>
    <w:bookmarkStart w:name="z34" w:id="29"/>
    <w:p>
      <w:pPr>
        <w:spacing w:after="0"/>
        <w:ind w:left="0"/>
        <w:jc w:val="both"/>
      </w:pPr>
      <w:r>
        <w:rPr>
          <w:rFonts w:ascii="Times New Roman"/>
          <w:b w:val="false"/>
          <w:i w:val="false"/>
          <w:color w:val="000000"/>
          <w:sz w:val="28"/>
        </w:rPr>
        <w:t>
      обеспечение хранения записи транзакций по операциям с деньгами и предоставление информации в уполномоченный орган по финансовому мониторингу;</w:t>
      </w:r>
    </w:p>
    <w:bookmarkEnd w:id="29"/>
    <w:bookmarkStart w:name="z35" w:id="30"/>
    <w:p>
      <w:pPr>
        <w:spacing w:after="0"/>
        <w:ind w:left="0"/>
        <w:jc w:val="both"/>
      </w:pPr>
      <w:r>
        <w:rPr>
          <w:rFonts w:ascii="Times New Roman"/>
          <w:b w:val="false"/>
          <w:i w:val="false"/>
          <w:color w:val="000000"/>
          <w:sz w:val="28"/>
        </w:rPr>
        <w:t>
      обеспечение хранения не менее пяти лет документов, данных и (или) сведений, полученных и собранных в рамках надлежащей проверки участника Международного финансового центра "Астана", оказывающего услуги по управлению платформой цифровых активов;</w:t>
      </w:r>
    </w:p>
    <w:bookmarkEnd w:id="30"/>
    <w:bookmarkStart w:name="z36" w:id="31"/>
    <w:p>
      <w:pPr>
        <w:spacing w:after="0"/>
        <w:ind w:left="0"/>
        <w:jc w:val="both"/>
      </w:pPr>
      <w:r>
        <w:rPr>
          <w:rFonts w:ascii="Times New Roman"/>
          <w:b w:val="false"/>
          <w:i w:val="false"/>
          <w:color w:val="000000"/>
          <w:sz w:val="28"/>
        </w:rPr>
        <w:t>
      осуществление проверки принадлежности и (или) причастности участника Международного финансового центра "Астана", оказывающего услуги по управлению платформой цифровых активов, и его бенефициарного собственника к публичному должностному лицу, его супруге (супругу) и близким родственникам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или финансированию терроризма;</w:t>
      </w:r>
    </w:p>
    <w:bookmarkEnd w:id="31"/>
    <w:bookmarkStart w:name="z37" w:id="32"/>
    <w:p>
      <w:pPr>
        <w:spacing w:after="0"/>
        <w:ind w:left="0"/>
        <w:jc w:val="both"/>
      </w:pPr>
      <w:r>
        <w:rPr>
          <w:rFonts w:ascii="Times New Roman"/>
          <w:b w:val="false"/>
          <w:i w:val="false"/>
          <w:color w:val="000000"/>
          <w:sz w:val="28"/>
        </w:rPr>
        <w:t>
      представление в уполномоченный орган по финансовому мониторингу необходимой информации при выявлении подозрительных операций в сроки, установленные требованиями законодательства Республики Казахстан о противодействии легализации (отмыванию) доходов, полученных преступным путем, или финансированию терроризма.</w:t>
      </w:r>
    </w:p>
    <w:bookmarkEnd w:id="32"/>
    <w:bookmarkStart w:name="z38" w:id="33"/>
    <w:p>
      <w:pPr>
        <w:spacing w:after="0"/>
        <w:ind w:left="0"/>
        <w:jc w:val="both"/>
      </w:pPr>
      <w:r>
        <w:rPr>
          <w:rFonts w:ascii="Times New Roman"/>
          <w:b w:val="false"/>
          <w:i w:val="false"/>
          <w:color w:val="000000"/>
          <w:sz w:val="28"/>
        </w:rPr>
        <w:t>
      В отношении клиентов банка, осуществляющих операции с участником Международного финансового центра "Астана", оказывающим услуги по управлению платформой цифровых активов, банк при проведении разовых банковских операций в сумме, не превышающей 1 000 (одну тысячу) долларов США в эквиваленте по рыночному курсу обмена валют на дату проведения банковской операции, применяет упрощенные меры надлежащей проверки клиентов, за исключением случаев совершения клиентами подозрительных операций.</w:t>
      </w:r>
    </w:p>
    <w:bookmarkEnd w:id="33"/>
    <w:bookmarkStart w:name="z39" w:id="34"/>
    <w:p>
      <w:pPr>
        <w:spacing w:after="0"/>
        <w:ind w:left="0"/>
        <w:jc w:val="both"/>
      </w:pPr>
      <w:r>
        <w:rPr>
          <w:rFonts w:ascii="Times New Roman"/>
          <w:b w:val="false"/>
          <w:i w:val="false"/>
          <w:color w:val="000000"/>
          <w:sz w:val="28"/>
        </w:rPr>
        <w:t>
      В отношении клиентов банка, осуществляющих операции с участником Международного финансового центра "Астана", оказывающим услуги по управлению платформой цифровых активов, банк при проведении разовых банковских операций в сумме, равной или превышающей 1 000 (одну тысячу) долларов США в эквиваленте по рыночному курсу обмена валют на дату проведения банковской операции, применяет усиленные меры надлежащей проверки клиентов и отвечает за:</w:t>
      </w:r>
    </w:p>
    <w:bookmarkEnd w:id="34"/>
    <w:bookmarkStart w:name="z40" w:id="35"/>
    <w:p>
      <w:pPr>
        <w:spacing w:after="0"/>
        <w:ind w:left="0"/>
        <w:jc w:val="both"/>
      </w:pPr>
      <w:r>
        <w:rPr>
          <w:rFonts w:ascii="Times New Roman"/>
          <w:b w:val="false"/>
          <w:i w:val="false"/>
          <w:color w:val="000000"/>
          <w:sz w:val="28"/>
        </w:rPr>
        <w:t>
      обеспечение проведения проверки источника происхождения средств клиентов банка при осуществлении перевода в пользу участника Международного финансового центра "Астана", оказывающего услуги по управлению платформой цифровых активов;</w:t>
      </w:r>
    </w:p>
    <w:bookmarkEnd w:id="35"/>
    <w:bookmarkStart w:name="z41" w:id="36"/>
    <w:p>
      <w:pPr>
        <w:spacing w:after="0"/>
        <w:ind w:left="0"/>
        <w:jc w:val="both"/>
      </w:pPr>
      <w:r>
        <w:rPr>
          <w:rFonts w:ascii="Times New Roman"/>
          <w:b w:val="false"/>
          <w:i w:val="false"/>
          <w:color w:val="000000"/>
          <w:sz w:val="28"/>
        </w:rPr>
        <w:t>
      принятие мер,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при выявлении подозрительных операций;</w:t>
      </w:r>
    </w:p>
    <w:bookmarkEnd w:id="36"/>
    <w:bookmarkStart w:name="z42" w:id="37"/>
    <w:p>
      <w:pPr>
        <w:spacing w:after="0"/>
        <w:ind w:left="0"/>
        <w:jc w:val="both"/>
      </w:pPr>
      <w:r>
        <w:rPr>
          <w:rFonts w:ascii="Times New Roman"/>
          <w:b w:val="false"/>
          <w:i w:val="false"/>
          <w:color w:val="000000"/>
          <w:sz w:val="28"/>
        </w:rPr>
        <w:t>
      осуществление мониторинга и изучение операций с деньгами клиентов банка, а также предотвращение незаконного вывода средств за рубеж, в том числе в офшорные зоны;</w:t>
      </w:r>
    </w:p>
    <w:bookmarkEnd w:id="37"/>
    <w:bookmarkStart w:name="z43" w:id="38"/>
    <w:p>
      <w:pPr>
        <w:spacing w:after="0"/>
        <w:ind w:left="0"/>
        <w:jc w:val="both"/>
      </w:pPr>
      <w:r>
        <w:rPr>
          <w:rFonts w:ascii="Times New Roman"/>
          <w:b w:val="false"/>
          <w:i w:val="false"/>
          <w:color w:val="000000"/>
          <w:sz w:val="28"/>
        </w:rPr>
        <w:t>
      прекращение деловых отношений с клиентами банка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38"/>
    <w:bookmarkStart w:name="z44" w:id="39"/>
    <w:p>
      <w:pPr>
        <w:spacing w:after="0"/>
        <w:ind w:left="0"/>
        <w:jc w:val="both"/>
      </w:pPr>
      <w:r>
        <w:rPr>
          <w:rFonts w:ascii="Times New Roman"/>
          <w:b w:val="false"/>
          <w:i w:val="false"/>
          <w:color w:val="000000"/>
          <w:sz w:val="28"/>
        </w:rPr>
        <w:t>
      При открытии банковского счета для обслуживания операций клиентов участник Международного финансового центра "Астана", оказывающий услуги по управлению платформой цифровых активов, представляет следующие документы:</w:t>
      </w:r>
    </w:p>
    <w:bookmarkEnd w:id="39"/>
    <w:bookmarkStart w:name="z45" w:id="40"/>
    <w:p>
      <w:pPr>
        <w:spacing w:after="0"/>
        <w:ind w:left="0"/>
        <w:jc w:val="both"/>
      </w:pPr>
      <w:r>
        <w:rPr>
          <w:rFonts w:ascii="Times New Roman"/>
          <w:b w:val="false"/>
          <w:i w:val="false"/>
          <w:color w:val="000000"/>
          <w:sz w:val="28"/>
        </w:rPr>
        <w:t>
      лицензия участника Международного финансового центра "Астана", оказывающего услуги по управлению платформой цифровых активов, на оказание финансовой услуги по управлению платформой цифровых активов, выданная Комитетом Международного финансового центра "Астана" по регулированию финансовых услуг;</w:t>
      </w:r>
    </w:p>
    <w:bookmarkEnd w:id="40"/>
    <w:bookmarkStart w:name="z46" w:id="41"/>
    <w:p>
      <w:pPr>
        <w:spacing w:after="0"/>
        <w:ind w:left="0"/>
        <w:jc w:val="both"/>
      </w:pPr>
      <w:r>
        <w:rPr>
          <w:rFonts w:ascii="Times New Roman"/>
          <w:b w:val="false"/>
          <w:i w:val="false"/>
          <w:color w:val="000000"/>
          <w:sz w:val="28"/>
        </w:rPr>
        <w:t>
      выписка из реестра, подтверждающая регистрацию в качестве участника Международного финансового центра "Астана", оказывающего услуги по управлению платформой цифровых активов;</w:t>
      </w:r>
    </w:p>
    <w:bookmarkEnd w:id="41"/>
    <w:bookmarkStart w:name="z47" w:id="42"/>
    <w:p>
      <w:pPr>
        <w:spacing w:after="0"/>
        <w:ind w:left="0"/>
        <w:jc w:val="both"/>
      </w:pPr>
      <w:r>
        <w:rPr>
          <w:rFonts w:ascii="Times New Roman"/>
          <w:b w:val="false"/>
          <w:i w:val="false"/>
          <w:color w:val="000000"/>
          <w:sz w:val="28"/>
        </w:rPr>
        <w:t>
      бизнес-план и бизнес-модель участника Международного финансового центра "Астана", оказывающего услуги по управлению платформой цифровых активов;</w:t>
      </w:r>
    </w:p>
    <w:bookmarkEnd w:id="42"/>
    <w:bookmarkStart w:name="z48" w:id="43"/>
    <w:p>
      <w:pPr>
        <w:spacing w:after="0"/>
        <w:ind w:left="0"/>
        <w:jc w:val="both"/>
      </w:pPr>
      <w:r>
        <w:rPr>
          <w:rFonts w:ascii="Times New Roman"/>
          <w:b w:val="false"/>
          <w:i w:val="false"/>
          <w:color w:val="000000"/>
          <w:sz w:val="28"/>
        </w:rPr>
        <w:t>
      политика по противодействию ОД/ФТ участника Международного финансового центра "Астана", оказывающего услуги по управлению платформой цифровых активов;</w:t>
      </w:r>
    </w:p>
    <w:bookmarkEnd w:id="43"/>
    <w:bookmarkStart w:name="z49" w:id="44"/>
    <w:p>
      <w:pPr>
        <w:spacing w:after="0"/>
        <w:ind w:left="0"/>
        <w:jc w:val="both"/>
      </w:pPr>
      <w:r>
        <w:rPr>
          <w:rFonts w:ascii="Times New Roman"/>
          <w:b w:val="false"/>
          <w:i w:val="false"/>
          <w:color w:val="000000"/>
          <w:sz w:val="28"/>
        </w:rPr>
        <w:t>
      приказ о назначении руководителя участника Международного финансового центра "Астана", оказывающего услуги по управлению платформой цифровых активов;</w:t>
      </w:r>
    </w:p>
    <w:bookmarkEnd w:id="44"/>
    <w:bookmarkStart w:name="z50" w:id="45"/>
    <w:p>
      <w:pPr>
        <w:spacing w:after="0"/>
        <w:ind w:left="0"/>
        <w:jc w:val="both"/>
      </w:pPr>
      <w:r>
        <w:rPr>
          <w:rFonts w:ascii="Times New Roman"/>
          <w:b w:val="false"/>
          <w:i w:val="false"/>
          <w:color w:val="000000"/>
          <w:sz w:val="28"/>
        </w:rPr>
        <w:t>
      информация об исполнительном органе участника Международного финансового центра "Астана", оказывающего услуги по управлению платформой цифровых активов, и его руководителе (документ, удостоверяющий его личность, подтверждение данных о месте жительства, рекомендательные письма, сведения об отсутствии неснятой или непогашенной судимости).</w:t>
      </w:r>
    </w:p>
    <w:bookmarkEnd w:id="45"/>
    <w:bookmarkStart w:name="z51" w:id="46"/>
    <w:p>
      <w:pPr>
        <w:spacing w:after="0"/>
        <w:ind w:left="0"/>
        <w:jc w:val="both"/>
      </w:pPr>
      <w:r>
        <w:rPr>
          <w:rFonts w:ascii="Times New Roman"/>
          <w:b w:val="false"/>
          <w:i w:val="false"/>
          <w:color w:val="000000"/>
          <w:sz w:val="28"/>
        </w:rPr>
        <w:t>
      Эффективный внутренний контроль обеспечивается путем формирования надлежащего управленческого контроля и культуры контроля (контрольной среды).</w:t>
      </w:r>
    </w:p>
    <w:bookmarkEnd w:id="46"/>
    <w:bookmarkStart w:name="z52" w:id="47"/>
    <w:p>
      <w:pPr>
        <w:spacing w:after="0"/>
        <w:ind w:left="0"/>
        <w:jc w:val="both"/>
      </w:pPr>
      <w:r>
        <w:rPr>
          <w:rFonts w:ascii="Times New Roman"/>
          <w:b w:val="false"/>
          <w:i w:val="false"/>
          <w:color w:val="000000"/>
          <w:sz w:val="28"/>
        </w:rPr>
        <w:t>
      Управленческий контроль и культура контроля (контрольная среда) характеризуют общее отношение, осведомленность и практические действия совета директоров банка и правления банка, направленные на создание и эффективное функционирование системы внутреннего контроля.".</w:t>
      </w:r>
    </w:p>
    <w:bookmarkEnd w:id="47"/>
    <w:bookmarkStart w:name="z53" w:id="48"/>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22 марта 2020 года № 18 "Об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банков второго уровня, филиалов банков-нерезидентов Республики Казахстан и Национального оператора почты" (зарегистрировано в Реестре государственной регистрации нормативных правовых актов под № 20160) следующие изменения:</w:t>
      </w:r>
    </w:p>
    <w:bookmarkEnd w:id="48"/>
    <w:bookmarkStart w:name="z54"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банков второго уровня, филиалов банков-нерезидентов Республики Казахстан и Национального оператора почты, утвержденных указанным постановлением:</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56" w:id="50"/>
    <w:p>
      <w:pPr>
        <w:spacing w:after="0"/>
        <w:ind w:left="0"/>
        <w:jc w:val="both"/>
      </w:pPr>
      <w:r>
        <w:rPr>
          <w:rFonts w:ascii="Times New Roman"/>
          <w:b w:val="false"/>
          <w:i w:val="false"/>
          <w:color w:val="000000"/>
          <w:sz w:val="28"/>
        </w:rPr>
        <w:t>
      "15. Типы клиентов, чей статус и (или) чья деятельность повышают риск ОД/ФТ, включают, но не ограничиваются:</w:t>
      </w:r>
    </w:p>
    <w:bookmarkEnd w:id="50"/>
    <w:bookmarkStart w:name="z57" w:id="51"/>
    <w:p>
      <w:pPr>
        <w:spacing w:after="0"/>
        <w:ind w:left="0"/>
        <w:jc w:val="both"/>
      </w:pPr>
      <w:r>
        <w:rPr>
          <w:rFonts w:ascii="Times New Roman"/>
          <w:b w:val="false"/>
          <w:i w:val="false"/>
          <w:color w:val="000000"/>
          <w:sz w:val="28"/>
        </w:rPr>
        <w:t>
      1) публичные должностные лица, их супруги и близкие родственники;</w:t>
      </w:r>
    </w:p>
    <w:bookmarkEnd w:id="51"/>
    <w:bookmarkStart w:name="z58" w:id="52"/>
    <w:p>
      <w:pPr>
        <w:spacing w:after="0"/>
        <w:ind w:left="0"/>
        <w:jc w:val="both"/>
      </w:pPr>
      <w:r>
        <w:rPr>
          <w:rFonts w:ascii="Times New Roman"/>
          <w:b w:val="false"/>
          <w:i w:val="false"/>
          <w:color w:val="000000"/>
          <w:sz w:val="28"/>
        </w:rPr>
        <w:t>
      2) иностранные финансовые организации;</w:t>
      </w:r>
    </w:p>
    <w:bookmarkEnd w:id="52"/>
    <w:bookmarkStart w:name="z59" w:id="53"/>
    <w:p>
      <w:pPr>
        <w:spacing w:after="0"/>
        <w:ind w:left="0"/>
        <w:jc w:val="both"/>
      </w:pPr>
      <w:r>
        <w:rPr>
          <w:rFonts w:ascii="Times New Roman"/>
          <w:b w:val="false"/>
          <w:i w:val="false"/>
          <w:color w:val="000000"/>
          <w:sz w:val="28"/>
        </w:rPr>
        <w:t>
      3) юридические лица и индивидуальные предприниматели, деятельность которых связана с интенсивным оборотом наличных денег, в том числе:</w:t>
      </w:r>
    </w:p>
    <w:bookmarkEnd w:id="53"/>
    <w:bookmarkStart w:name="z60" w:id="54"/>
    <w:p>
      <w:pPr>
        <w:spacing w:after="0"/>
        <w:ind w:left="0"/>
        <w:jc w:val="both"/>
      </w:pPr>
      <w:r>
        <w:rPr>
          <w:rFonts w:ascii="Times New Roman"/>
          <w:b w:val="false"/>
          <w:i w:val="false"/>
          <w:color w:val="000000"/>
          <w:sz w:val="28"/>
        </w:rPr>
        <w:t>
      юридические лица,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54"/>
    <w:bookmarkStart w:name="z61" w:id="55"/>
    <w:p>
      <w:pPr>
        <w:spacing w:after="0"/>
        <w:ind w:left="0"/>
        <w:jc w:val="both"/>
      </w:pPr>
      <w:r>
        <w:rPr>
          <w:rFonts w:ascii="Times New Roman"/>
          <w:b w:val="false"/>
          <w:i w:val="false"/>
          <w:color w:val="000000"/>
          <w:sz w:val="28"/>
        </w:rPr>
        <w:t>
      юридические лица, исключительной деятельностью которых является инкассация банкнот, монет и ценностей на основании лицензии Национального Банка Республики Казахстан (за исключением дочерних организаций банков, которые соблюдают требования по ПОД/ФТ, установленные банком);</w:t>
      </w:r>
    </w:p>
    <w:bookmarkEnd w:id="55"/>
    <w:bookmarkStart w:name="z62" w:id="56"/>
    <w:p>
      <w:pPr>
        <w:spacing w:after="0"/>
        <w:ind w:left="0"/>
        <w:jc w:val="both"/>
      </w:pPr>
      <w:r>
        <w:rPr>
          <w:rFonts w:ascii="Times New Roman"/>
          <w:b w:val="false"/>
          <w:i w:val="false"/>
          <w:color w:val="000000"/>
          <w:sz w:val="28"/>
        </w:rPr>
        <w:t>
      организации, осуществляющие микрофинансовую деятельность;</w:t>
      </w:r>
    </w:p>
    <w:bookmarkEnd w:id="56"/>
    <w:bookmarkStart w:name="z63" w:id="57"/>
    <w:p>
      <w:pPr>
        <w:spacing w:after="0"/>
        <w:ind w:left="0"/>
        <w:jc w:val="both"/>
      </w:pPr>
      <w:r>
        <w:rPr>
          <w:rFonts w:ascii="Times New Roman"/>
          <w:b w:val="false"/>
          <w:i w:val="false"/>
          <w:color w:val="000000"/>
          <w:sz w:val="28"/>
        </w:rPr>
        <w:t>
      агенты (поверенные) поставщиков услуг (кроме финансовых), осуществляющие прием от потребителей наличных денег, в том числе через электронные терминалы;</w:t>
      </w:r>
    </w:p>
    <w:bookmarkEnd w:id="57"/>
    <w:bookmarkStart w:name="z64" w:id="58"/>
    <w:p>
      <w:pPr>
        <w:spacing w:after="0"/>
        <w:ind w:left="0"/>
        <w:jc w:val="both"/>
      </w:pPr>
      <w:r>
        <w:rPr>
          <w:rFonts w:ascii="Times New Roman"/>
          <w:b w:val="false"/>
          <w:i w:val="false"/>
          <w:color w:val="000000"/>
          <w:sz w:val="28"/>
        </w:rPr>
        <w:t>
      организаторы игорного бизнеса, а также лица, предоставляющие услуги либо получающие доходы от деятельности онлайн-казино за пределами Республики Казахстан;</w:t>
      </w:r>
    </w:p>
    <w:bookmarkEnd w:id="58"/>
    <w:bookmarkStart w:name="z65" w:id="59"/>
    <w:p>
      <w:pPr>
        <w:spacing w:after="0"/>
        <w:ind w:left="0"/>
        <w:jc w:val="both"/>
      </w:pPr>
      <w:r>
        <w:rPr>
          <w:rFonts w:ascii="Times New Roman"/>
          <w:b w:val="false"/>
          <w:i w:val="false"/>
          <w:color w:val="000000"/>
          <w:sz w:val="28"/>
        </w:rPr>
        <w:t>
      лица, предоставляющие туристские услуги, а также услуги, связанные с интенсивным оборотом наличных денег;</w:t>
      </w:r>
    </w:p>
    <w:bookmarkEnd w:id="59"/>
    <w:bookmarkStart w:name="z66" w:id="60"/>
    <w:p>
      <w:pPr>
        <w:spacing w:after="0"/>
        <w:ind w:left="0"/>
        <w:jc w:val="both"/>
      </w:pPr>
      <w:r>
        <w:rPr>
          <w:rFonts w:ascii="Times New Roman"/>
          <w:b w:val="false"/>
          <w:i w:val="false"/>
          <w:color w:val="000000"/>
          <w:sz w:val="28"/>
        </w:rPr>
        <w:t xml:space="preserve">
      4) адвокаты и другие независимые специалисты по юридическим вопросам в случаях, когда они от имени или по поручению клиента участвуют в операциях с деньгами и (или) имуществом в отношении деятельности, указанной в </w:t>
      </w:r>
      <w:r>
        <w:rPr>
          <w:rFonts w:ascii="Times New Roman"/>
          <w:b w:val="false"/>
          <w:i w:val="false"/>
          <w:color w:val="000000"/>
          <w:sz w:val="28"/>
        </w:rPr>
        <w:t>подпункте 7)</w:t>
      </w:r>
      <w:r>
        <w:rPr>
          <w:rFonts w:ascii="Times New Roman"/>
          <w:b w:val="false"/>
          <w:i w:val="false"/>
          <w:color w:val="000000"/>
          <w:sz w:val="28"/>
        </w:rPr>
        <w:t xml:space="preserve"> пункта 1 статьи 3 Закона о ПОД/ФТ, профессиональные участники рынка ценных бумаг (за исключением дочерних организаций банков второго уровня, которые соблюдают требования по ПОД/ФТ, установленные банками второго уровня);</w:t>
      </w:r>
    </w:p>
    <w:bookmarkEnd w:id="60"/>
    <w:bookmarkStart w:name="z67" w:id="61"/>
    <w:p>
      <w:pPr>
        <w:spacing w:after="0"/>
        <w:ind w:left="0"/>
        <w:jc w:val="both"/>
      </w:pPr>
      <w:r>
        <w:rPr>
          <w:rFonts w:ascii="Times New Roman"/>
          <w:b w:val="false"/>
          <w:i w:val="false"/>
          <w:color w:val="000000"/>
          <w:sz w:val="28"/>
        </w:rPr>
        <w:t>
      5) страховые (перестраховочные) организации, страховые брокеры, осуществляющие деятельность по отрасли "страхование жизни" (за исключением дочерних организаций банка, которые соблюдают требования по ПОД/ФТ, установленные банком);</w:t>
      </w:r>
    </w:p>
    <w:bookmarkEnd w:id="61"/>
    <w:bookmarkStart w:name="z68" w:id="62"/>
    <w:p>
      <w:pPr>
        <w:spacing w:after="0"/>
        <w:ind w:left="0"/>
        <w:jc w:val="both"/>
      </w:pPr>
      <w:r>
        <w:rPr>
          <w:rFonts w:ascii="Times New Roman"/>
          <w:b w:val="false"/>
          <w:i w:val="false"/>
          <w:color w:val="000000"/>
          <w:sz w:val="28"/>
        </w:rPr>
        <w:t>
      6) лица, предоставляющие услуги по финансовому лизингу (за исключением дочерних организаций банков второго уровня, которые соблюдают требования по ПОД/ФТ, установленные банками второго уровня);</w:t>
      </w:r>
    </w:p>
    <w:bookmarkEnd w:id="62"/>
    <w:bookmarkStart w:name="z69" w:id="63"/>
    <w:p>
      <w:pPr>
        <w:spacing w:after="0"/>
        <w:ind w:left="0"/>
        <w:jc w:val="both"/>
      </w:pPr>
      <w:r>
        <w:rPr>
          <w:rFonts w:ascii="Times New Roman"/>
          <w:b w:val="false"/>
          <w:i w:val="false"/>
          <w:color w:val="000000"/>
          <w:sz w:val="28"/>
        </w:rPr>
        <w:t>
      7) лица, осуществляющие деятельность в качестве страховых агентов;</w:t>
      </w:r>
    </w:p>
    <w:bookmarkEnd w:id="63"/>
    <w:bookmarkStart w:name="z70" w:id="64"/>
    <w:p>
      <w:pPr>
        <w:spacing w:after="0"/>
        <w:ind w:left="0"/>
        <w:jc w:val="both"/>
      </w:pPr>
      <w:r>
        <w:rPr>
          <w:rFonts w:ascii="Times New Roman"/>
          <w:b w:val="false"/>
          <w:i w:val="false"/>
          <w:color w:val="000000"/>
          <w:sz w:val="28"/>
        </w:rPr>
        <w:t>
      8) лица, осуществляющие посредническую деятельность по купле-продаже недвижимости;</w:t>
      </w:r>
    </w:p>
    <w:bookmarkEnd w:id="64"/>
    <w:bookmarkStart w:name="z71" w:id="65"/>
    <w:p>
      <w:pPr>
        <w:spacing w:after="0"/>
        <w:ind w:left="0"/>
        <w:jc w:val="both"/>
      </w:pPr>
      <w:r>
        <w:rPr>
          <w:rFonts w:ascii="Times New Roman"/>
          <w:b w:val="false"/>
          <w:i w:val="false"/>
          <w:color w:val="000000"/>
          <w:sz w:val="28"/>
        </w:rPr>
        <w:t>
      9) лица, деятельность которых связана с производством и (или) торговлей оружием, взрывчатыми веществами;</w:t>
      </w:r>
    </w:p>
    <w:bookmarkEnd w:id="65"/>
    <w:bookmarkStart w:name="z72" w:id="66"/>
    <w:p>
      <w:pPr>
        <w:spacing w:after="0"/>
        <w:ind w:left="0"/>
        <w:jc w:val="both"/>
      </w:pPr>
      <w:r>
        <w:rPr>
          <w:rFonts w:ascii="Times New Roman"/>
          <w:b w:val="false"/>
          <w:i w:val="false"/>
          <w:color w:val="000000"/>
          <w:sz w:val="28"/>
        </w:rPr>
        <w:t>
      10) лица, деятельность которых связана с добычей и (или) обработкой, а также куплей-продажей, драгоценных металлов, драгоценных камней либо изделий из них;</w:t>
      </w:r>
    </w:p>
    <w:bookmarkEnd w:id="66"/>
    <w:bookmarkStart w:name="z73" w:id="67"/>
    <w:p>
      <w:pPr>
        <w:spacing w:after="0"/>
        <w:ind w:left="0"/>
        <w:jc w:val="both"/>
      </w:pPr>
      <w:r>
        <w:rPr>
          <w:rFonts w:ascii="Times New Roman"/>
          <w:b w:val="false"/>
          <w:i w:val="false"/>
          <w:color w:val="000000"/>
          <w:sz w:val="28"/>
        </w:rPr>
        <w:t>
      11) некоммерческие организации в организационно-правовой форме фондов, религиозных объединений;</w:t>
      </w:r>
    </w:p>
    <w:bookmarkEnd w:id="67"/>
    <w:bookmarkStart w:name="z74" w:id="68"/>
    <w:p>
      <w:pPr>
        <w:spacing w:after="0"/>
        <w:ind w:left="0"/>
        <w:jc w:val="both"/>
      </w:pPr>
      <w:r>
        <w:rPr>
          <w:rFonts w:ascii="Times New Roman"/>
          <w:b w:val="false"/>
          <w:i w:val="false"/>
          <w:color w:val="000000"/>
          <w:sz w:val="28"/>
        </w:rPr>
        <w:t xml:space="preserve">
      12) лица, расположенные (зарегистрированные) в иностранных государствах, указанных в </w:t>
      </w:r>
      <w:r>
        <w:rPr>
          <w:rFonts w:ascii="Times New Roman"/>
          <w:b w:val="false"/>
          <w:i w:val="false"/>
          <w:color w:val="000000"/>
          <w:sz w:val="28"/>
        </w:rPr>
        <w:t>пункте 17</w:t>
      </w:r>
      <w:r>
        <w:rPr>
          <w:rFonts w:ascii="Times New Roman"/>
          <w:b w:val="false"/>
          <w:i w:val="false"/>
          <w:color w:val="000000"/>
          <w:sz w:val="28"/>
        </w:rPr>
        <w:t xml:space="preserve"> Требований, а также расположенные в Республике Казахстан филиалы и представительства таких лиц;</w:t>
      </w:r>
    </w:p>
    <w:bookmarkEnd w:id="68"/>
    <w:bookmarkStart w:name="z75" w:id="69"/>
    <w:p>
      <w:pPr>
        <w:spacing w:after="0"/>
        <w:ind w:left="0"/>
        <w:jc w:val="both"/>
      </w:pPr>
      <w:r>
        <w:rPr>
          <w:rFonts w:ascii="Times New Roman"/>
          <w:b w:val="false"/>
          <w:i w:val="false"/>
          <w:color w:val="000000"/>
          <w:sz w:val="28"/>
        </w:rPr>
        <w:t>
      13) клиент, в отношении которого имеются основания для сомнения в достоверности полученных данных;</w:t>
      </w:r>
    </w:p>
    <w:bookmarkEnd w:id="69"/>
    <w:bookmarkStart w:name="z76" w:id="70"/>
    <w:p>
      <w:pPr>
        <w:spacing w:after="0"/>
        <w:ind w:left="0"/>
        <w:jc w:val="both"/>
      </w:pPr>
      <w:r>
        <w:rPr>
          <w:rFonts w:ascii="Times New Roman"/>
          <w:b w:val="false"/>
          <w:i w:val="false"/>
          <w:color w:val="000000"/>
          <w:sz w:val="28"/>
        </w:rPr>
        <w:t xml:space="preserve">
      14) клиент совершает действия, направленные на уклонение от процедур надлежащей проверки клиента,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ПОД/ФТ;</w:t>
      </w:r>
    </w:p>
    <w:bookmarkEnd w:id="70"/>
    <w:bookmarkStart w:name="z77" w:id="71"/>
    <w:p>
      <w:pPr>
        <w:spacing w:after="0"/>
        <w:ind w:left="0"/>
        <w:jc w:val="both"/>
      </w:pPr>
      <w:r>
        <w:rPr>
          <w:rFonts w:ascii="Times New Roman"/>
          <w:b w:val="false"/>
          <w:i w:val="false"/>
          <w:color w:val="000000"/>
          <w:sz w:val="28"/>
        </w:rPr>
        <w:t>
      15) лица, осуществляющие деятельность по выпуску цифровых активов, организации торгов ими, а также предоставлению услуг по обмену цифровых активов на деньги, ценности и иное имущество;</w:t>
      </w:r>
    </w:p>
    <w:bookmarkEnd w:id="71"/>
    <w:bookmarkStart w:name="z78" w:id="72"/>
    <w:p>
      <w:pPr>
        <w:spacing w:after="0"/>
        <w:ind w:left="0"/>
        <w:jc w:val="both"/>
      </w:pPr>
      <w:r>
        <w:rPr>
          <w:rFonts w:ascii="Times New Roman"/>
          <w:b w:val="false"/>
          <w:i w:val="false"/>
          <w:color w:val="000000"/>
          <w:sz w:val="28"/>
        </w:rPr>
        <w:t>
      16) клиенты, являющиеся держателями десяти и более платежных карточек, выпущенных банком;</w:t>
      </w:r>
    </w:p>
    <w:bookmarkEnd w:id="72"/>
    <w:bookmarkStart w:name="z79" w:id="73"/>
    <w:p>
      <w:pPr>
        <w:spacing w:after="0"/>
        <w:ind w:left="0"/>
        <w:jc w:val="both"/>
      </w:pPr>
      <w:r>
        <w:rPr>
          <w:rFonts w:ascii="Times New Roman"/>
          <w:b w:val="false"/>
          <w:i w:val="false"/>
          <w:color w:val="000000"/>
          <w:sz w:val="28"/>
        </w:rPr>
        <w:t>
      17) клиенты, совершившие в течение последних 6 (шести) месяцев три и более платежей в пользу организатора игорного бизнеса на общую сумму более 300 000 (триста тысяч) тенге.";</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81" w:id="74"/>
    <w:p>
      <w:pPr>
        <w:spacing w:after="0"/>
        <w:ind w:left="0"/>
        <w:jc w:val="both"/>
      </w:pPr>
      <w:r>
        <w:rPr>
          <w:rFonts w:ascii="Times New Roman"/>
          <w:b w:val="false"/>
          <w:i w:val="false"/>
          <w:color w:val="000000"/>
          <w:sz w:val="28"/>
        </w:rPr>
        <w:t>
      "22. Программа идентификации клиента, его представителя и бенефициарного собственника включает, но не ограничивается:</w:t>
      </w:r>
    </w:p>
    <w:bookmarkEnd w:id="74"/>
    <w:bookmarkStart w:name="z82" w:id="75"/>
    <w:p>
      <w:pPr>
        <w:spacing w:after="0"/>
        <w:ind w:left="0"/>
        <w:jc w:val="both"/>
      </w:pPr>
      <w:r>
        <w:rPr>
          <w:rFonts w:ascii="Times New Roman"/>
          <w:b w:val="false"/>
          <w:i w:val="false"/>
          <w:color w:val="000000"/>
          <w:sz w:val="28"/>
        </w:rPr>
        <w:t>
      1) порядок принятия клиентов на обслуживание, включая процедуру, основания и сроки принятия банком решения об отказе в установлении деловых отношений и (или) в проведении операции, а также прекращении деловых отношений;</w:t>
      </w:r>
    </w:p>
    <w:bookmarkEnd w:id="75"/>
    <w:bookmarkStart w:name="z83" w:id="76"/>
    <w:p>
      <w:pPr>
        <w:spacing w:after="0"/>
        <w:ind w:left="0"/>
        <w:jc w:val="both"/>
      </w:pPr>
      <w:r>
        <w:rPr>
          <w:rFonts w:ascii="Times New Roman"/>
          <w:b w:val="false"/>
          <w:i w:val="false"/>
          <w:color w:val="000000"/>
          <w:sz w:val="28"/>
        </w:rPr>
        <w:t>
      2) порядок идентификации клиента (его представителя) и бенефициарного собственника, в том числе особенности процедур применения упрощенных и усиленных мер надлежащей проверки клиента;</w:t>
      </w:r>
    </w:p>
    <w:bookmarkEnd w:id="76"/>
    <w:bookmarkStart w:name="z84" w:id="77"/>
    <w:p>
      <w:pPr>
        <w:spacing w:after="0"/>
        <w:ind w:left="0"/>
        <w:jc w:val="both"/>
      </w:pPr>
      <w:r>
        <w:rPr>
          <w:rFonts w:ascii="Times New Roman"/>
          <w:b w:val="false"/>
          <w:i w:val="false"/>
          <w:color w:val="000000"/>
          <w:sz w:val="28"/>
        </w:rPr>
        <w:t>
      3) особенности проведения идентификации при установлении корреспондентских отношений с иностранными финансовыми организациями;</w:t>
      </w:r>
    </w:p>
    <w:bookmarkEnd w:id="77"/>
    <w:bookmarkStart w:name="z85" w:id="78"/>
    <w:p>
      <w:pPr>
        <w:spacing w:after="0"/>
        <w:ind w:left="0"/>
        <w:jc w:val="both"/>
      </w:pPr>
      <w:r>
        <w:rPr>
          <w:rFonts w:ascii="Times New Roman"/>
          <w:b w:val="false"/>
          <w:i w:val="false"/>
          <w:color w:val="000000"/>
          <w:sz w:val="28"/>
        </w:rPr>
        <w:t>
      4) описание мер, направленных на выявление банком среди клиентов (их представителей) и бенефициарных собственников, находящихся на обслуживании или принимаемых на обслуживание, публичных должностных лиц, их супругов и близких родственников;</w:t>
      </w:r>
    </w:p>
    <w:bookmarkEnd w:id="78"/>
    <w:bookmarkStart w:name="z86" w:id="79"/>
    <w:p>
      <w:pPr>
        <w:spacing w:after="0"/>
        <w:ind w:left="0"/>
        <w:jc w:val="both"/>
      </w:pPr>
      <w:r>
        <w:rPr>
          <w:rFonts w:ascii="Times New Roman"/>
          <w:b w:val="false"/>
          <w:i w:val="false"/>
          <w:color w:val="000000"/>
          <w:sz w:val="28"/>
        </w:rPr>
        <w:t xml:space="preserve">
      5) порядок применения целевых финансовых санкций, проверки клиента (его представителя) и бенефициарного собственника на наличие в перечнях организаций и лиц, связанных с финансированием терроризма и экстремизма, финансированием распространения оружия массового уничтожения, составляемых в соответствии со </w:t>
      </w:r>
      <w:r>
        <w:rPr>
          <w:rFonts w:ascii="Times New Roman"/>
          <w:b w:val="false"/>
          <w:i w:val="false"/>
          <w:color w:val="000000"/>
          <w:sz w:val="28"/>
        </w:rPr>
        <w:t>статьями 12</w:t>
      </w:r>
      <w:r>
        <w:rPr>
          <w:rFonts w:ascii="Times New Roman"/>
          <w:b w:val="false"/>
          <w:i w:val="false"/>
          <w:color w:val="000000"/>
          <w:sz w:val="28"/>
        </w:rPr>
        <w:t xml:space="preserve"> (далее - Перечень) и </w:t>
      </w:r>
      <w:r>
        <w:rPr>
          <w:rFonts w:ascii="Times New Roman"/>
          <w:b w:val="false"/>
          <w:i w:val="false"/>
          <w:color w:val="000000"/>
          <w:sz w:val="28"/>
        </w:rPr>
        <w:t>12-1</w:t>
      </w:r>
      <w:r>
        <w:rPr>
          <w:rFonts w:ascii="Times New Roman"/>
          <w:b w:val="false"/>
          <w:i w:val="false"/>
          <w:color w:val="000000"/>
          <w:sz w:val="28"/>
        </w:rPr>
        <w:t xml:space="preserve"> (далее - Перечень ФРОМУ) </w:t>
      </w:r>
      <w:r>
        <w:rPr>
          <w:rFonts w:ascii="Times New Roman"/>
          <w:b w:val="false"/>
          <w:i w:val="false"/>
          <w:color w:val="000000"/>
          <w:sz w:val="28"/>
        </w:rPr>
        <w:t>Закона</w:t>
      </w:r>
      <w:r>
        <w:rPr>
          <w:rFonts w:ascii="Times New Roman"/>
          <w:b w:val="false"/>
          <w:i w:val="false"/>
          <w:color w:val="000000"/>
          <w:sz w:val="28"/>
        </w:rPr>
        <w:t xml:space="preserve"> о ПОД/ФТ;</w:t>
      </w:r>
    </w:p>
    <w:bookmarkEnd w:id="79"/>
    <w:bookmarkStart w:name="z87" w:id="80"/>
    <w:p>
      <w:pPr>
        <w:spacing w:after="0"/>
        <w:ind w:left="0"/>
        <w:jc w:val="both"/>
      </w:pPr>
      <w:r>
        <w:rPr>
          <w:rFonts w:ascii="Times New Roman"/>
          <w:b w:val="false"/>
          <w:i w:val="false"/>
          <w:color w:val="000000"/>
          <w:sz w:val="28"/>
        </w:rPr>
        <w:t xml:space="preserve">
      6) порядок прекращения действия целевых финансовых санкций при исключении сведений о клиенте (его представителе) и бенефициарного собственника из </w:t>
      </w:r>
      <w:r>
        <w:rPr>
          <w:rFonts w:ascii="Times New Roman"/>
          <w:b w:val="false"/>
          <w:i w:val="false"/>
          <w:color w:val="000000"/>
          <w:sz w:val="28"/>
        </w:rPr>
        <w:t>Перечня</w:t>
      </w:r>
      <w:r>
        <w:rPr>
          <w:rFonts w:ascii="Times New Roman"/>
          <w:b w:val="false"/>
          <w:i w:val="false"/>
          <w:color w:val="000000"/>
          <w:sz w:val="28"/>
        </w:rPr>
        <w:t xml:space="preserve"> и </w:t>
      </w:r>
      <w:r>
        <w:rPr>
          <w:rFonts w:ascii="Times New Roman"/>
          <w:b w:val="false"/>
          <w:i w:val="false"/>
          <w:color w:val="000000"/>
          <w:sz w:val="28"/>
        </w:rPr>
        <w:t>Перечня ФРОМУ</w:t>
      </w:r>
      <w:r>
        <w:rPr>
          <w:rFonts w:ascii="Times New Roman"/>
          <w:b w:val="false"/>
          <w:i w:val="false"/>
          <w:color w:val="000000"/>
          <w:sz w:val="28"/>
        </w:rPr>
        <w:t>;</w:t>
      </w:r>
    </w:p>
    <w:bookmarkEnd w:id="80"/>
    <w:bookmarkStart w:name="z88" w:id="81"/>
    <w:p>
      <w:pPr>
        <w:spacing w:after="0"/>
        <w:ind w:left="0"/>
        <w:jc w:val="both"/>
      </w:pPr>
      <w:r>
        <w:rPr>
          <w:rFonts w:ascii="Times New Roman"/>
          <w:b w:val="false"/>
          <w:i w:val="false"/>
          <w:color w:val="000000"/>
          <w:sz w:val="28"/>
        </w:rPr>
        <w:t>
      7) особенности идентификации при дистанционном установлении деловых отношений (без личного присутствия клиента или его представителя);</w:t>
      </w:r>
    </w:p>
    <w:bookmarkEnd w:id="81"/>
    <w:bookmarkStart w:name="z89" w:id="82"/>
    <w:p>
      <w:pPr>
        <w:spacing w:after="0"/>
        <w:ind w:left="0"/>
        <w:jc w:val="both"/>
      </w:pPr>
      <w:r>
        <w:rPr>
          <w:rFonts w:ascii="Times New Roman"/>
          <w:b w:val="false"/>
          <w:i w:val="false"/>
          <w:color w:val="000000"/>
          <w:sz w:val="28"/>
        </w:rPr>
        <w:t>
      8) особенности обмена сведениями, полученными в процессе идентификации клиента (его представителя) и бенефициарного собственника, а также хранения и обеспечения конфиденциальности таких сведений, в рамках выполнения требований по ПОД/ФТ, установленных банковским конгломератом, в который входит банк (при наличии);</w:t>
      </w:r>
    </w:p>
    <w:bookmarkEnd w:id="82"/>
    <w:bookmarkStart w:name="z90" w:id="83"/>
    <w:p>
      <w:pPr>
        <w:spacing w:after="0"/>
        <w:ind w:left="0"/>
        <w:jc w:val="both"/>
      </w:pPr>
      <w:r>
        <w:rPr>
          <w:rFonts w:ascii="Times New Roman"/>
          <w:b w:val="false"/>
          <w:i w:val="false"/>
          <w:color w:val="000000"/>
          <w:sz w:val="28"/>
        </w:rPr>
        <w:t>
      9) особенности идентификации клиентов путем получения сведений от других финансовых организаций, в том числе идентификации физических и юридических лиц, в пользу или от имени которых брокером (дилером) совершаются операции по своему банковскому счету;</w:t>
      </w:r>
    </w:p>
    <w:bookmarkEnd w:id="83"/>
    <w:bookmarkStart w:name="z91" w:id="84"/>
    <w:p>
      <w:pPr>
        <w:spacing w:after="0"/>
        <w:ind w:left="0"/>
        <w:jc w:val="both"/>
      </w:pPr>
      <w:r>
        <w:rPr>
          <w:rFonts w:ascii="Times New Roman"/>
          <w:b w:val="false"/>
          <w:i w:val="false"/>
          <w:color w:val="000000"/>
          <w:sz w:val="28"/>
        </w:rPr>
        <w:t>
      10) порядок проверки достоверности сведений о клиенте (его представителе) и бенефициарном собственнике;</w:t>
      </w:r>
    </w:p>
    <w:bookmarkEnd w:id="84"/>
    <w:bookmarkStart w:name="z92" w:id="85"/>
    <w:p>
      <w:pPr>
        <w:spacing w:after="0"/>
        <w:ind w:left="0"/>
        <w:jc w:val="both"/>
      </w:pPr>
      <w:r>
        <w:rPr>
          <w:rFonts w:ascii="Times New Roman"/>
          <w:b w:val="false"/>
          <w:i w:val="false"/>
          <w:color w:val="000000"/>
          <w:sz w:val="28"/>
        </w:rPr>
        <w:t>
      11) требования к форме, содержанию и порядку ведения досье клиента, обновления сведений, содержащихся в досье, с указанием периодичности обновления сведений;</w:t>
      </w:r>
    </w:p>
    <w:bookmarkEnd w:id="85"/>
    <w:bookmarkStart w:name="z93" w:id="86"/>
    <w:p>
      <w:pPr>
        <w:spacing w:after="0"/>
        <w:ind w:left="0"/>
        <w:jc w:val="both"/>
      </w:pPr>
      <w:r>
        <w:rPr>
          <w:rFonts w:ascii="Times New Roman"/>
          <w:b w:val="false"/>
          <w:i w:val="false"/>
          <w:color w:val="000000"/>
          <w:sz w:val="28"/>
        </w:rPr>
        <w:t>
      12) порядок оценки уровня риска клиента, основания оценки такого риска;</w:t>
      </w:r>
    </w:p>
    <w:bookmarkEnd w:id="86"/>
    <w:bookmarkStart w:name="z94" w:id="87"/>
    <w:p>
      <w:pPr>
        <w:spacing w:after="0"/>
        <w:ind w:left="0"/>
        <w:jc w:val="both"/>
      </w:pPr>
      <w:r>
        <w:rPr>
          <w:rFonts w:ascii="Times New Roman"/>
          <w:b w:val="false"/>
          <w:i w:val="false"/>
          <w:color w:val="000000"/>
          <w:sz w:val="28"/>
        </w:rPr>
        <w:t xml:space="preserve">
      13) порядок получения и представления по запросу банка сведений о бенефициарных собственниках клиентов по форме и порядке, определенным уполномоченным органом по финансовому мониторингу в соответствии с частями третьей и четвертой </w:t>
      </w:r>
      <w:r>
        <w:rPr>
          <w:rFonts w:ascii="Times New Roman"/>
          <w:b w:val="false"/>
          <w:i w:val="false"/>
          <w:color w:val="000000"/>
          <w:sz w:val="28"/>
        </w:rPr>
        <w:t>пункта 5</w:t>
      </w:r>
      <w:r>
        <w:rPr>
          <w:rFonts w:ascii="Times New Roman"/>
          <w:b w:val="false"/>
          <w:i w:val="false"/>
          <w:color w:val="000000"/>
          <w:sz w:val="28"/>
        </w:rPr>
        <w:t xml:space="preserve"> статьи 5 Закона о ПОД/ФТ;</w:t>
      </w:r>
    </w:p>
    <w:bookmarkEnd w:id="87"/>
    <w:bookmarkStart w:name="z95" w:id="88"/>
    <w:p>
      <w:pPr>
        <w:spacing w:after="0"/>
        <w:ind w:left="0"/>
        <w:jc w:val="both"/>
      </w:pPr>
      <w:r>
        <w:rPr>
          <w:rFonts w:ascii="Times New Roman"/>
          <w:b w:val="false"/>
          <w:i w:val="false"/>
          <w:color w:val="000000"/>
          <w:sz w:val="28"/>
        </w:rPr>
        <w:t>
      14) порядок проверки клиента (его представителя) и бенефициарного собственника на принадлежность к иностранным организаторам игорного бизнеса, деятельность которых признана незаконной на территории Республики Казахстан на основании судебного акта (далее – иностранные организаторы игорного бизнеса), отказа в проведении платежей и (или) переводов денег в пользу иностранных организаторов игорного бизнеса, а также прекращения деловых отношений с клиентом, являющимся иностранным организатором игорного бизнеса.</w:t>
      </w:r>
    </w:p>
    <w:bookmarkEnd w:id="88"/>
    <w:bookmarkStart w:name="z96" w:id="89"/>
    <w:p>
      <w:pPr>
        <w:spacing w:after="0"/>
        <w:ind w:left="0"/>
        <w:jc w:val="both"/>
      </w:pPr>
      <w:r>
        <w:rPr>
          <w:rFonts w:ascii="Times New Roman"/>
          <w:b w:val="false"/>
          <w:i w:val="false"/>
          <w:color w:val="000000"/>
          <w:sz w:val="28"/>
        </w:rPr>
        <w:t>
      Документы, представляемые клиентом (его представителем) в целях подтверждения сведений о клиенте (его представителе) и бенефициарном собственнике, проверяются на их действительность.</w:t>
      </w:r>
    </w:p>
    <w:bookmarkEnd w:id="89"/>
    <w:bookmarkStart w:name="z97" w:id="90"/>
    <w:p>
      <w:pPr>
        <w:spacing w:after="0"/>
        <w:ind w:left="0"/>
        <w:jc w:val="both"/>
      </w:pPr>
      <w:r>
        <w:rPr>
          <w:rFonts w:ascii="Times New Roman"/>
          <w:b w:val="false"/>
          <w:i w:val="false"/>
          <w:color w:val="000000"/>
          <w:sz w:val="28"/>
        </w:rPr>
        <w:t>
      В отношении представителя клиента дополнительно проверяются полномочия такого лица действовать от имени и (или) в интересах клиента.</w:t>
      </w:r>
    </w:p>
    <w:bookmarkEnd w:id="90"/>
    <w:bookmarkStart w:name="z98" w:id="91"/>
    <w:p>
      <w:pPr>
        <w:spacing w:after="0"/>
        <w:ind w:left="0"/>
        <w:jc w:val="both"/>
      </w:pPr>
      <w:r>
        <w:rPr>
          <w:rFonts w:ascii="Times New Roman"/>
          <w:b w:val="false"/>
          <w:i w:val="false"/>
          <w:color w:val="000000"/>
          <w:sz w:val="28"/>
        </w:rPr>
        <w:t>
      В отношении клиента, с которым банк установил деловые отношения посредством представителя клиента, действующего от имени клиента на основании выданной доверенности, банком до проведения расходных или приходных операций, дополнительно проводится биометрическая идентификация клиента.</w:t>
      </w:r>
    </w:p>
    <w:bookmarkEnd w:id="91"/>
    <w:bookmarkStart w:name="z99" w:id="92"/>
    <w:p>
      <w:pPr>
        <w:spacing w:after="0"/>
        <w:ind w:left="0"/>
        <w:jc w:val="both"/>
      </w:pPr>
      <w:r>
        <w:rPr>
          <w:rFonts w:ascii="Times New Roman"/>
          <w:b w:val="false"/>
          <w:i w:val="false"/>
          <w:color w:val="000000"/>
          <w:sz w:val="28"/>
        </w:rPr>
        <w:t>
      Запрещается дистанционное установление деловых отношений (без личного присутствия клиента или его представителя) с клиентами, являющимися резидентами стран с высоким риском ОД/ФТ на основе фактора незаконного производства, оборота и (или) транзита наркотиков.</w:t>
      </w:r>
    </w:p>
    <w:bookmarkEnd w:id="92"/>
    <w:bookmarkStart w:name="z100" w:id="93"/>
    <w:p>
      <w:pPr>
        <w:spacing w:after="0"/>
        <w:ind w:left="0"/>
        <w:jc w:val="both"/>
      </w:pPr>
      <w:r>
        <w:rPr>
          <w:rFonts w:ascii="Times New Roman"/>
          <w:b w:val="false"/>
          <w:i w:val="false"/>
          <w:color w:val="000000"/>
          <w:sz w:val="28"/>
        </w:rPr>
        <w:t>
      Банком проверяются документы клиентов, являющихся нерезидентами Республики Казахстан - держателями десяти и более платежных карточек, выпущенных данным банком, и (или) резидентами стран с высоким риском ОД/ФТ на основе фактора незаконного производства, оборота и (или) транзита наркотиков, подтверждающие обоснованность нахождения в Республике Казахстан (трудовой договор, договор обучения, вид на жительство иностранца в Республике Казахстан и другие документы).</w:t>
      </w:r>
    </w:p>
    <w:bookmarkEnd w:id="93"/>
    <w:bookmarkStart w:name="z101" w:id="94"/>
    <w:p>
      <w:pPr>
        <w:spacing w:after="0"/>
        <w:ind w:left="0"/>
        <w:jc w:val="both"/>
      </w:pPr>
      <w:r>
        <w:rPr>
          <w:rFonts w:ascii="Times New Roman"/>
          <w:b w:val="false"/>
          <w:i w:val="false"/>
          <w:color w:val="000000"/>
          <w:sz w:val="28"/>
        </w:rPr>
        <w:t xml:space="preserve">
      Если банк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ПОД/ФТ на основании договора поручил иному лицу применение в отношении клиентов банка мер,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статьи 5 Закона о ПОД/ФТ, банк разрабатывает правила взаимодействия с такими лицами, которые включают:</w:t>
      </w:r>
    </w:p>
    <w:bookmarkEnd w:id="94"/>
    <w:bookmarkStart w:name="z102" w:id="95"/>
    <w:p>
      <w:pPr>
        <w:spacing w:after="0"/>
        <w:ind w:left="0"/>
        <w:jc w:val="both"/>
      </w:pPr>
      <w:r>
        <w:rPr>
          <w:rFonts w:ascii="Times New Roman"/>
          <w:b w:val="false"/>
          <w:i w:val="false"/>
          <w:color w:val="000000"/>
          <w:sz w:val="28"/>
        </w:rPr>
        <w:t>
      процедуру заключения банком договоров с лицами, которым поручено проведение идентификации, а также перечень должностных лиц банка, уполномоченных заключать такие договоры;</w:t>
      </w:r>
    </w:p>
    <w:bookmarkEnd w:id="95"/>
    <w:bookmarkStart w:name="z103" w:id="96"/>
    <w:p>
      <w:pPr>
        <w:spacing w:after="0"/>
        <w:ind w:left="0"/>
        <w:jc w:val="both"/>
      </w:pPr>
      <w:r>
        <w:rPr>
          <w:rFonts w:ascii="Times New Roman"/>
          <w:b w:val="false"/>
          <w:i w:val="false"/>
          <w:color w:val="000000"/>
          <w:sz w:val="28"/>
        </w:rPr>
        <w:t>
      процедуру идентификации клиента (его представителя) и бенефициарного собственника в соответствии с договорами между банком и лицами, которым поручено проведение идентификации;</w:t>
      </w:r>
    </w:p>
    <w:bookmarkEnd w:id="96"/>
    <w:bookmarkStart w:name="z104" w:id="97"/>
    <w:p>
      <w:pPr>
        <w:spacing w:after="0"/>
        <w:ind w:left="0"/>
        <w:jc w:val="both"/>
      </w:pPr>
      <w:r>
        <w:rPr>
          <w:rFonts w:ascii="Times New Roman"/>
          <w:b w:val="false"/>
          <w:i w:val="false"/>
          <w:color w:val="000000"/>
          <w:sz w:val="28"/>
        </w:rPr>
        <w:t>
      процедуру и сроки передачи банку сведений, полученных при проведении идентификации, лицами, которым поручено проведение идентификации;</w:t>
      </w:r>
    </w:p>
    <w:bookmarkEnd w:id="97"/>
    <w:bookmarkStart w:name="z105" w:id="98"/>
    <w:p>
      <w:pPr>
        <w:spacing w:after="0"/>
        <w:ind w:left="0"/>
        <w:jc w:val="both"/>
      </w:pPr>
      <w:r>
        <w:rPr>
          <w:rFonts w:ascii="Times New Roman"/>
          <w:b w:val="false"/>
          <w:i w:val="false"/>
          <w:color w:val="000000"/>
          <w:sz w:val="28"/>
        </w:rPr>
        <w:t>
      процедуру осуществления банком контроля за соблюдением лицами, которым поручено проведение идентификации, требований по идентификации, включая процедуру, сроки и полноту передачи банку полученных сведений, а также меры, принимаемые банком по устранению выявленных нарушений;</w:t>
      </w:r>
    </w:p>
    <w:bookmarkEnd w:id="98"/>
    <w:bookmarkStart w:name="z106" w:id="99"/>
    <w:p>
      <w:pPr>
        <w:spacing w:after="0"/>
        <w:ind w:left="0"/>
        <w:jc w:val="both"/>
      </w:pPr>
      <w:r>
        <w:rPr>
          <w:rFonts w:ascii="Times New Roman"/>
          <w:b w:val="false"/>
          <w:i w:val="false"/>
          <w:color w:val="000000"/>
          <w:sz w:val="28"/>
        </w:rPr>
        <w:t>
      основания, процедуру и сроки принятия банком решения об одностороннем отказе от исполнения договора с лицами, которым поручено проведение идентификации, в случае несоблюдения ими требований по идентификации, в том числе процедур, сроков и полноты передачи банку полученных сведений;</w:t>
      </w:r>
    </w:p>
    <w:bookmarkEnd w:id="99"/>
    <w:bookmarkStart w:name="z107" w:id="100"/>
    <w:p>
      <w:pPr>
        <w:spacing w:after="0"/>
        <w:ind w:left="0"/>
        <w:jc w:val="both"/>
      </w:pPr>
      <w:r>
        <w:rPr>
          <w:rFonts w:ascii="Times New Roman"/>
          <w:b w:val="false"/>
          <w:i w:val="false"/>
          <w:color w:val="000000"/>
          <w:sz w:val="28"/>
        </w:rPr>
        <w:t>
      перечень должностных лиц банка, уполномоченных принимать решение об одностороннем отказе от исполнения договора с лицами, которым поручено проведение идентификации;</w:t>
      </w:r>
    </w:p>
    <w:bookmarkEnd w:id="100"/>
    <w:bookmarkStart w:name="z108" w:id="101"/>
    <w:p>
      <w:pPr>
        <w:spacing w:after="0"/>
        <w:ind w:left="0"/>
        <w:jc w:val="both"/>
      </w:pPr>
      <w:r>
        <w:rPr>
          <w:rFonts w:ascii="Times New Roman"/>
          <w:b w:val="false"/>
          <w:i w:val="false"/>
          <w:color w:val="000000"/>
          <w:sz w:val="28"/>
        </w:rPr>
        <w:t>
      положения об ответственности лиц, которым банк поручил проведение идентификации, за несоблюдение ими требований по идентификации, включая процедуру, сроки и полноту передачи банку полученных сведений;</w:t>
      </w:r>
    </w:p>
    <w:bookmarkEnd w:id="101"/>
    <w:bookmarkStart w:name="z109" w:id="102"/>
    <w:p>
      <w:pPr>
        <w:spacing w:after="0"/>
        <w:ind w:left="0"/>
        <w:jc w:val="both"/>
      </w:pPr>
      <w:r>
        <w:rPr>
          <w:rFonts w:ascii="Times New Roman"/>
          <w:b w:val="false"/>
          <w:i w:val="false"/>
          <w:color w:val="000000"/>
          <w:sz w:val="28"/>
        </w:rPr>
        <w:t>
      процедуру взаимодействия банка с лицами, которым поручено проведение идентификации, по вопросам оказания им методологической помощи в целях выполнения требований по идентификации.</w:t>
      </w:r>
    </w:p>
    <w:bookmarkEnd w:id="102"/>
    <w:bookmarkStart w:name="z110" w:id="103"/>
    <w:p>
      <w:pPr>
        <w:spacing w:after="0"/>
        <w:ind w:left="0"/>
        <w:jc w:val="both"/>
      </w:pPr>
      <w:r>
        <w:rPr>
          <w:rFonts w:ascii="Times New Roman"/>
          <w:b w:val="false"/>
          <w:i w:val="false"/>
          <w:color w:val="000000"/>
          <w:sz w:val="28"/>
        </w:rPr>
        <w:t>
      Допускается включение банком дополнительных условий в правила взаимодействия.</w:t>
      </w:r>
    </w:p>
    <w:bookmarkEnd w:id="103"/>
    <w:bookmarkStart w:name="z111" w:id="104"/>
    <w:p>
      <w:pPr>
        <w:spacing w:after="0"/>
        <w:ind w:left="0"/>
        <w:jc w:val="both"/>
      </w:pPr>
      <w:r>
        <w:rPr>
          <w:rFonts w:ascii="Times New Roman"/>
          <w:b w:val="false"/>
          <w:i w:val="false"/>
          <w:color w:val="000000"/>
          <w:sz w:val="28"/>
        </w:rPr>
        <w:t xml:space="preserve">
      Банк, поручивший на основании договора иностранной финансовой организации применение мер надлежащей проверки клиентов (их представителей) и бенефициарных собственников,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статьи 5 Закона о ПОД/ФТ, учитывает возможные риски ОД/ФТ.";</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113" w:id="105"/>
    <w:p>
      <w:pPr>
        <w:spacing w:after="0"/>
        <w:ind w:left="0"/>
        <w:jc w:val="both"/>
      </w:pPr>
      <w:r>
        <w:rPr>
          <w:rFonts w:ascii="Times New Roman"/>
          <w:b w:val="false"/>
          <w:i w:val="false"/>
          <w:color w:val="000000"/>
          <w:sz w:val="28"/>
        </w:rPr>
        <w:t>
      "27. Периодичность обновления и (или) необходимость получения дополнительных сведений о клиенте (его представителе) и бенефициарном собственнике устанавливаются с учетом уровня риска клиента (группы клиентов) и (или) степени подверженности услуг (продуктов) банка, которыми пользуется клиент, рискам ОД/ФТ.</w:t>
      </w:r>
    </w:p>
    <w:bookmarkEnd w:id="105"/>
    <w:bookmarkStart w:name="z114" w:id="106"/>
    <w:p>
      <w:pPr>
        <w:spacing w:after="0"/>
        <w:ind w:left="0"/>
        <w:jc w:val="both"/>
      </w:pPr>
      <w:r>
        <w:rPr>
          <w:rFonts w:ascii="Times New Roman"/>
          <w:b w:val="false"/>
          <w:i w:val="false"/>
          <w:color w:val="000000"/>
          <w:sz w:val="28"/>
        </w:rPr>
        <w:t>
      Обновление сведений о клиенте (его представителе) и бенефициарном собственнике с высоким уровнем риска осуществляется не реже одного раза в год.</w:t>
      </w:r>
    </w:p>
    <w:bookmarkEnd w:id="106"/>
    <w:bookmarkStart w:name="z115" w:id="107"/>
    <w:p>
      <w:pPr>
        <w:spacing w:after="0"/>
        <w:ind w:left="0"/>
        <w:jc w:val="both"/>
      </w:pPr>
      <w:r>
        <w:rPr>
          <w:rFonts w:ascii="Times New Roman"/>
          <w:b w:val="false"/>
          <w:i w:val="false"/>
          <w:color w:val="000000"/>
          <w:sz w:val="28"/>
        </w:rPr>
        <w:t>
      Обновление сведений о клиенте (его представителе), являющимся держателем десяти и более платежных карточек, выпущенных банком, осуществляется не реже одного раза в квартал.</w:t>
      </w:r>
    </w:p>
    <w:bookmarkEnd w:id="107"/>
    <w:bookmarkStart w:name="z116" w:id="108"/>
    <w:p>
      <w:pPr>
        <w:spacing w:after="0"/>
        <w:ind w:left="0"/>
        <w:jc w:val="both"/>
      </w:pPr>
      <w:r>
        <w:rPr>
          <w:rFonts w:ascii="Times New Roman"/>
          <w:b w:val="false"/>
          <w:i w:val="false"/>
          <w:color w:val="000000"/>
          <w:sz w:val="28"/>
        </w:rPr>
        <w:t>
      Обновление сведений о клиенте (его представителе), в отношении которого имеются основания полагать, что его деятельность связана с финансированием незаконным производством, оборотом и (или) транзитом наркотиков, осуществляется не реже одного раза в полгода.".</w:t>
      </w:r>
    </w:p>
    <w:bookmarkEnd w:id="108"/>
    <w:bookmarkStart w:name="z117" w:id="109"/>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109"/>
    <w:bookmarkStart w:name="z118" w:id="110"/>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110"/>
    <w:bookmarkStart w:name="z119" w:id="111"/>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111"/>
    <w:bookmarkStart w:name="z120" w:id="1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112"/>
    <w:bookmarkStart w:name="z121" w:id="11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113"/>
    <w:bookmarkStart w:name="z122" w:id="11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1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 регулированию и</w:t>
            </w:r>
          </w:p>
          <w:p>
            <w:pPr>
              <w:spacing w:after="0"/>
              <w:ind w:left="0"/>
              <w:jc w:val="left"/>
            </w:pPr>
          </w:p>
          <w:p>
            <w:pPr>
              <w:spacing w:after="20"/>
              <w:ind w:left="20"/>
              <w:jc w:val="both"/>
            </w:pPr>
            <w:r>
              <w:rPr>
                <w:rFonts w:ascii="Times New Roman"/>
                <w:b w:val="false"/>
                <w:i/>
                <w:color w:val="000000"/>
                <w:sz w:val="20"/>
              </w:rPr>
              <w:t xml:space="preserve">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24" w:id="115"/>
      <w:r>
        <w:rPr>
          <w:rFonts w:ascii="Times New Roman"/>
          <w:b w:val="false"/>
          <w:i w:val="false"/>
          <w:color w:val="000000"/>
          <w:sz w:val="28"/>
        </w:rPr>
        <w:t>
      "СОГЛАСОВАНО"</w:t>
      </w:r>
    </w:p>
    <w:bookmarkEnd w:id="115"/>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финансовому мониторингу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