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edb2" w14:textId="dcce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декабря 2023 года № 101. Зарегистрирован в Министерстве юстиции Республики Казахстан 4 января 2024 года № 33881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 (зарегистрировано в Реестре государственной регистрации нормативных правовых актов под № 4361)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2001 года № 655 "О договоре о доверительном управлении Национальным фондом Республики Казахстан" и устанавливают порядок осуществления Национальным Банком Республики Казахстан (далее – Национальный Банк) инвестиционных операций при доверительном управлении Национальным фондом Республики Казахстан (далее – Фонд).";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26-4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Эталонным портфелем стабилизационного портфеля является индекс, состоящий из ценных бумаг, входящих в широкий индекс краткосрочных государственных ценных бумаг казначейства США (ICE BofA US Treasury Bill Index).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доходности и риска стабилизационного портфеля рассчитываются Национальным Банком ежедневно.";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44-3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"44-3. Оценка эффективности управления сберегательным портфелем проводится в долгосрочной перспективе методом скользящей оценки (rolling window) за периоды сроками в 5 (пять), 10 (десять) лет и с начала управления сберегательным портфелем.";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Целевое стратегическое распределение активов сберегательного портфеля определяется согласно приложению 2-1 к настоящим Правилам.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к целевому стратегическому распределению активов сберегательного портфеля осуществляется в последний рабочий день календарного квартала.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каждого отчетного года в случае отклонения любого класса активов на 3 (три) процента в течение первых 2 (двух) месяцев года, следующего за отчетным (январь и февраль), доля класса активов доводится до целевого стратегического распределения активов сберегательного портфеля в соответствии с приложением 2-1 к настоящим Правилам в срок до конца первого квартала года, следующего за отчетным.";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Эталонным портфелем для портфеля государственных облигаций развитых стран является композитный индекс, состоящий из ценных бумаг, входящих в широкий индекс высоколиквидных государственных облигаций развитых стран (ICE BofA Global Government Index).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к эталонному распределению в композитном индексе государственных облигаций развитых стран осуществляется в последний рабочий день календарного квартала.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ценных бумаг в композитном индексе государственных облигаций развитых стран меняется ежемесячно.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доходности и риска портфеля государственных облигаций развитых стран рассчитываются Национальным Банком ежедневно.";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"51-2. Портфель государственных облигаций развивающихся стран состоит из: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портфеля государственных облигаций развивающихся стран с применением эталонного портфеля, состоящего из ценных бумаг, входящих в широкий индекс государственных облигаций развивающихся рынков (ICE BofA US Emerging Markets External Sovereign Index, ICE BofA Emerging Markets Corporate Plus Index, ICE BofA US Emerging Markets External Debt Sovereign &amp; Corporate Plus Index).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Эталонный портфель для портфеля государственных облигаций развивающихся стран не включает облигации стран с долей нефти в экспорте в размере более чем 80 (восемьдесят) процентов;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портфеля в китайских юанях без применения эталонного портфеля, объем которого не превышает 1 (один) процент от сберегательного портфеля.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51-3. Для портфеля государственных облигаций развивающихся стран применяются следующие условия: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кредитный рейтинг ценных бумаг портфеля государственных облигаций развивающихся стран соответствует уровню ВВ (Standard&amp;Poor's)/Ва2 (Moody’s) или аналогичному кредитному рейтингу других международных рейтинговых агентств.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2 (двух) и более кредитных рейтингов для ценных бумаг портфеля государственных облигаций развивающихся стран минимальный кредитный рейтинг определяется как наименьший из них.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значение кредитного рейтинга по ценной бумаге снижается ниже минимального кредитного рейтинга, Национальный Банк осуществляет мероприятия по ликвидации позиции по данной ценной бумаге с учетом текущей конъюнктуры рынка в срок не более 2 (двух) месяцев со дня снижения значения минимального кредитного рейтинга по ценной бумаге;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секторное распределение портфеля государственных облигаций развивающихся стран отдельного управляющего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"51-10. Эталонным портфелем для портфеля корпоративных облигаций является индекс, состоящий из ценных бумаг, входящих в широкий индекс корпоративных облигаций (ICE BofA Global Corporate &amp; High Yield Index).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Эталонный портфель для портфеля корпоративных облигаций не включает ценные бумаги, выпускаемые компаниями с повышенным уровнем выбросов парниковых газов, угледобывающими компаниями и производителями табачных изделий.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51-11. Минимальный кредитный рейтинг ценных бумаг портфеля корпоративных облигаций соответствует уровню ВВ (Standard&amp;Poor's)/Ва2 (Moody’s) или аналогичному кредитному рейтингу других международных рейтинговых агентств.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2 (двух) и более кредитных рейтингов для ценных бумаг портфеля корпоративных облигаций минимальный кредитный рейтинг определяется как наименьший из них.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ценных бумаг в портфеле корпоративных облигаций с кредитным рейтингом ВВ (Standard&amp;Poor's)/Ва2 (Moody’s) или аналогичным кредитным рейтингом других международных рейтинговых агентств не превышает долю ценных бумаг с кредитным рейтингом ВВ (Standard&amp;Poor's)/Ва2 (Moody’s) или аналогичным кредитным рейтингом других международных рейтинговых агентств в эталонном портфеле корпоративных облигаций более чем на 1 (один) процент.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значение кредитного рейтинга по ценной бумаге снижается ниже минимального кредитного рейтинга, Национальный Банк осуществляет мероприятия по ликвидации позиции по данной ценной бумаге с учетом текущей конъюнктуры рынка, но не более 1 (одного) месяца со дня снижения значения минимального кредитного рейтинга по ценной бумаге.";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Эталонным портфелем для портфеля акций является индекс, состоящий из ценных бумаг, входящих в широкий индекс глобального рынка акций (MSCI World Index).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Эталонный портфель для портфеля акций в пассивном управлении включает индекс, состоящий из ценных бумаг, входящих в MSCI World ESG Index.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Показателем доходности эталонного портфеля для портфеля акций, рассчитываемой ежедневно, является доходность индекса с учетом реинвестирования дивидендов без учета налогов.";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"56-1. Целевым уровнем доходности портфеля альтернативных инструментов является доходность композитного индекса (референс портфеля), состоящего на 80 (восемьдесят) процентов из индекса MSCI АCWI IMI Net Total Return USD Index и на 20 (двадцать) процентов из индекса Bloomberg Global-Aggregate Total Return Index Value Hedged USD, измеряемых в долларах США.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к эталонному распределению в композитном индексе (референс портфеле), предусмотренном частью первой настоящего пункта осуществляется в последний рабочий день календарного квартала. При этом минимальным уровнем долгосрочной доходности для портфеля альтернативных инструментов является значение US Consumer Price Index (CPI YOY) + 3 (три) процента, который рассчитывается методом скользящей оценки (rolling window) за периоды сроками в 5 (пять), 10 (десять) и 15 (пятнадцать) лет.";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56-4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"56-3. Внешнее управление портфелем альтернативных инструментов осуществляет акционерное общество "Национальная инвестиционная корпорация Национального Банка Казахстана" (далее – Корпорация).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56-4. Инвестиции в портфеле альтернативных инструментов осуществляются с учетом ограничений, установленных настоящими Правилами. Секторное распределение портфеля альтернативных инструментов по классам активов осуществляется в соответствии с приложением 10 к настоящим Правилам.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ограничений, установленных в соответствии с приложением 10 к настоящим Правилам, в результате изменения стоимости активов портфеля альтернативных инструментов, вызванного резким изменением рыночных цен, а также пополнением или изъятием активов из портфеля альтернативных инструментов, Корпорация приводит портфель альтернативных инструментов в соответствие с установленными ограничениями в течение 1 (одного) года с момента превышения соответствующих ограничений.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портфеля альтернативных инструментов не превышает 5 (пять) процентов от объема активов сберегательного портфеля на момент перевода активов Фонда в портфель альтернативных инструментов.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56-5. Активы портфеля альтернативных инструментов инвестируются в следующие альтернативные инструменты: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частный капитал;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хедж фонды;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недвижимость;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инфраструктура;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частный долг.";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56-7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"56-7. Для осуществления совместных инвестиций, инвестиций в фонды фондов (fund of funds) и путем прямого инвестирования в фонды допускается инвестирование посредством приобретения акций и (или) долей компаний специального назначения (special purpose vehicle).";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Операции с активами, переданными во внешнее управление, осуществляются с контрпартнерами, минимальный кредитный рейтинг которых соответствует уровню не ниже ВВВ- (Standard&amp;Poor's)/Ваа3 (Moody’s) или аналогичному кредитному рейтингу других международных рейтинговых агентств.";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Национального Банка Республики Казахстан в установленном законодательством Республики Казахстан порядке обеспечить: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мероприятий, предусмотренных подпунктом 2) настоящего пункта.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4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Целевое стратегическое распределение активов сберегательного портфеля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портфеля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формирования портфеля альтернативных инструментов (в процентах)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формирования портфеля альтернативных инструментов (в процентах)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облигации развитых стран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облигации развивающихся стран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облигации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строкам 2 и 3 графы 4 применяется фактически сложившаяся доля альтернативных инструментов на момент перевода или пополнения портфеля альтернативных инструментов при условии, что совместная доля альтернативных инструментов и акций равняется 35 (тридцати пяти) процентам.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Секторное распределение портфеля государственных облигаций развивающихся стран отдельного управляющего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производных финансовых инструментов используется рыночная стоимость лежащих в их основе финансовых инструментов)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(оставшаяся валюта на текущих счетах, финансовые активы, размещенные в фондах денежного рынка с возможностью возврата на следующий рабочий день), государственные ценные бумаги стран и корпоративные ценные бумаги, входящие в эталонный портфель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 стран и корпоративные ценные бумаги, не входящие в эталонный портфель, агентские долговые обязательства стран, входящих в эталонный индекс, долговые обязательства международных финансовых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(вклады)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 (регулируются ограничением по Tracking Error)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ценные бумаги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Секторное распределение портфеля альтернативных инструментов по классам активов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процентах) в период 5 лет после первичного пополнения портфеля альтернативных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процентах) по истечении 5 лет после первичного пополнения портфеля альтернативных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капитал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Хедж-фонды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строкам 6 и 7 совокупный объем облигаций и акций не превышает 40 (сорока) процентов в период формирования портфеля альтернативных инструментов, составляющий не более 5 (пяти) лет после первичного пополнения портфеля альтернативных инструментов. По истечении периода формирования портфеля альтернативных инструментов, совокупный объем облигаций и акций не превышает 15 (пятнадцати) процентов.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