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edb2" w14:textId="dcce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2023 года № 101. Зарегистрирован в Министерстве юстиции Республики Казахстан 4 января 2024 года № 33881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(зарегистрировано в Реестре государственной регистрации нормативных правовых актов под № 4361)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2001 года № 655 "О договоре о доверительном управлении Национальным фондом Республики Казахстан" и устанавливают порядок осуществления Национальным Банком Республики Казахстан (далее – Национальный Банк) инвестиционных операций при доверительном управлении Национальным фондом Республики Казахстан (далее – Фонд).";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Эталонным портфелем стабилизационного портфеля является индекс, состоящий из ценных бумаг, входящих в широкий индекс краткосрочных государственных ценных бумаг казначейства США (ICE BofA US Treasury Bill Index).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доходности и риска стабилизационного портфеля рассчитываются Национальным Банком ежедневно.";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44-3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"44-3. Оценка эффективности управления сберегательным портфелем проводится в долгосрочной перспективе методом скользящей оценки (rolling window) за периоды сроками в 5 (пять), 10 (десять) лет и с начала управления сберегательным портфелем.";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Целевое стратегическое распределение активов сберегательного портфеля определяется согласно приложению 2-1 к настоящим Правилам.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к целевому стратегическому распределению активов сберегательного портфеля осуществляется в последний рабочий день календарного квартала.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каждого отчетного года в случае отклонения любого класса активов на 3 (три) процента в течение первых 2 (двух) месяцев года, следующего за отчетным (январь и февраль), доля класса активов доводится до целевого стратегического распределения активов сберегательного портфеля в соответствии с приложением 2-1 к настоящим Правилам в срок до конца первого квартала года, следующего за отчетным.";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Эталонным портфелем для портфеля государственных облигаций развитых стран является композитный индекс, состоящий из ценных бумаг, входящих в широкий индекс высоколиквидных государственных облигаций развитых стран (ICE BofA Global Government Index).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к эталонному распределению в композитном индексе государственных облигаций развитых стран осуществляется в последний рабочий день календарного квартала.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ценных бумаг в композитном индексе государственных облигаций развитых стран меняется ежемесячно.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доходности и риска портфеля государственных облигаций развитых стран рассчитываются Национальным Банком ежедневно.";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"51-2. Портфель государственных облигаций развивающихся стран состоит из: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портфеля государственных облигаций развивающихся стран с применением эталонного портфеля, состоящего из ценных бумаг, входящих в широкий индекс государственных облигаций развивающихся рынков (ICE BofA US Emerging Markets External Sovereign Index, ICE BofA Emerging Markets Corporate Plus Index, ICE BofA US Emerging Markets External Debt Sovereign &amp; Corporate Plus Index).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Эталонный портфель для портфеля государственных облигаций развивающихся стран не включает облигации стран с долей нефти в экспорте в размере более чем 80 (восемьдесят) процентов;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портфеля в китайских юанях без применения эталонного портфеля, объем которого не превышает 1 (один) процент от сберегательного портфеля.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51-3. Для портфеля государственных облигаций развивающихся стран применяются следующие условия: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кредитный рейтинг ценных бумаг портфеля государственных облигаций развивающихся стран соответствует уровню ВВ (Standard&amp;Poor's)/Ва2 (Moody’s) или аналогичному кредитному рейтингу других международных рейтинговых агентств.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2 (двух) и более кредитных рейтингов для ценных бумаг портфеля государственных облигаций развивающихся стран минимальный кредитный рейтинг определяется как наименьший из них.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значение кредитного рейтинга по ценной бумаге снижается ниже минимального кредитного рейтинга, Национальный Банк осуществляет мероприятия по ликвидации позиции по данной ценной бумаге с учетом текущей конъюнктуры рынка в срок не более 2 (двух) месяцев со дня снижения значения минимального кредитного рейтинга по ценной бумаге;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секторное распределение портфеля государственных облигаций развивающихся стран отдельного управляющего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51-10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"51-10. Эталонным портфелем для портфеля корпоративных облигаций является индекс, состоящий из ценных бумаг, входящих в широкий индекс корпоративных облигаций (ICE BofA Global Corporate &amp; High Yield Index).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Эталонный портфель для портфеля корпоративных облигаций не включает ценные бумаги, выпускаемые компаниями с повышенным уровнем выбросов парниковых газов, угледобывающими компаниями и производителями табачных изделий.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51-11. Минимальный кредитный рейтинг ценных бумаг портфеля корпоративных облигаций соответствует уровню ВВ (Standard&amp;Poor's)/Ва2 (Moody’s) или аналогичному кредитному рейтингу других международных рейтинговых агентств.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2 (двух) и более кредитных рейтингов для ценных бумаг портфеля корпоративных облигаций минимальный кредитный рейтинг определяется как наименьший из них.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ценных бумаг в портфеле корпоративных облигаций с кредитным рейтингом ВВ (Standard&amp;Poor's)/Ва2 (Moody’s) или аналогичным кредитным рейтингом других международных рейтинговых агентств не превышает долю ценных бумаг с кредитным рейтингом ВВ (Standard&amp;Poor's)/Ва2 (Moody’s) или аналогичным кредитным рейтингом других международных рейтинговых агентств в эталонном портфеле корпоративных облигаций более чем на 1 (один) процент.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значение кредитного рейтинга по ценной бумаге снижается ниже минимального кредитного рейтинга, Национальный Банк осуществляет мероприятия по ликвидации позиции по данной ценной бумаге с учетом текущей конъюнктуры рынка, но не более 1 (одного) месяца со дня снижения значения минимального кредитного рейтинга по ценной бумаге.";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Эталонным портфелем для портфеля акций является индекс, состоящий из ценных бумаг, входящих в широкий индекс глобального рынка акций (MSCI World Index).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Эталонный портфель для портфеля акций в пассивном управлении включает индекс, состоящий из ценных бумаг, входящих в MSCI World ESG Index.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Показателем доходности эталонного портфеля для портфеля акций, рассчитываемой ежедневно, является доходность индекса с учетом реинвестирования дивидендов без учета налогов.";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"56-1. Целевым уровнем доходности портфеля альтернативных инструментов является доходность композитного индекса (референс портфеля), состоящего на 80 (восемьдесят) процентов из индекса MSCI АCWI IMI Net Total Return USD Index и на 20 (двадцать) процентов из индекса Bloomberg Global-Aggregate Total Return Index Value Hedged USD, измеряемых в долларах США.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к эталонному распределению в композитном индексе (референс портфеле), предусмотренном частью первой настоящего пункта осуществляется в последний рабочий день календарного квартала. При этом минимальным уровнем долгосрочной доходности для портфеля альтернативных инструментов является значение US Consumer Price Index (CPI YOY) + 3 (три) процента, который рассчитывается методом скользящей оценки (rolling window) за периоды сроками в 5 (пять), 10 (десять) и 15 (пятнадцать) лет.";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"56-3. Внешнее управление портфелем альтернативных инструментов осуществляет акционерное общество "Национальная инвестиционная корпорация Национального Банка Казахстана" (далее – Корпорация).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56-4. Инвестиции в портфеле альтернативных инструментов осуществляются с учетом ограничений, установленных настоящими Правилами. Секторное распределение портфеля альтернативных инструментов по классам активов осуществляется в соответствии с приложением 10 к настоящим Правилам.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ограничений, установленных в соответствии с приложением 10 к настоящим Правилам, в результате изменения стоимости активов портфеля альтернативных инструментов, вызванного резким изменением рыночных цен, а также пополнением или изъятием активов из портфеля альтернативных инструментов, Корпорация приводит портфель альтернативных инструментов в соответствие с установленными ограничениями в течение 1 (одного) года с момента превышения соответствующих ограничений.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портфеля альтернативных инструментов не превышает 5 (пять) процентов от объема активов сберегательного портфеля на момент перевода активов Фонда в портфель альтернативных инструментов.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56-5. Активы портфеля альтернативных инструментов инвестируются в следующие альтернативные инструменты: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частный капитал;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хедж фонды;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недвижимость;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инфраструктура;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частный долг.";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56-7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"56-7. Для осуществления совместных инвестиций, инвестиций в фонды фондов (fund of funds) и путем прямого инвестирования в фонды допускается инвестирование посредством приобретения акций и (или) долей компаний специального назначения (special purpose vehicle).";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Операции с активами, переданными во внешнее управление, осуществляются с контрпартнерами, минимальный кредитный рейтинг которых соответствует уровню не ниже ВВВ- (Standard&amp;Poor's)/Ваа3 (Moody’s) или аналогичному кредитному рейтингу других международных рейтинговых агентств.";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Национального Банка Республики Казахстан в установленном законодательством Республики Казахстан порядке обеспечить: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мероприятий, предусмотренных подпунктом 2) настоящего пункта.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4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Целевое стратегическое распределение активов сберегательного портфеля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портфеля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формирования портфеля альтернативных инструментов (в процентах)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формирования портфеля альтернативных инструментов (в процентах)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облигации развитых стран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облигации развивающихся стран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облигации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строкам 2 и 3 графы 4 применяется фактически сложившаяся доля альтернативных инструментов на момент перевода или пополнения портфеля альтернативных инструментов при условии, что совместная доля альтернативных инструментов и акций равняется 35 (тридцати пяти) процентам.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Секторное распределение портфеля государственных облигаций развивающихся стран отдельного управляющего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производных финансовых инструментов используется рыночная стоимость лежащих в их основе финансовых инструментов)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(оставшаяся валюта на текущих счетах, финансовые активы, размещенные в фондах денежного рынка с возможностью возврата на следующий рабочий день), государственные ценные бумаги стран и корпоративные ценные бумаги, входящие в эталонный портфель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долговые обязательства стран и корпоративные ценные бумаги, не входящие в эталонный портфель, агентские долговые обязательства стран, входящих в эталонный индекс, долговые обязательства международных финансовых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(вклады)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 (регулируются ограничением по Tracking Error)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ценные бумаги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Секторное распределение портфеля альтернативных инструментов по классам активов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 в период 5 лет после первичного пополнения портфеля альтернативных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 по истечении 5 лет после первичного пополнения портфеля альтернативных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капитал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Хедж-фонды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строкам 6 и 7 совокупный объем облигаций и акций не превышает 40 (сорока) процентов в период формирования портфеля альтернативных инструментов, составляющий не более 5 (пяти) лет после первичного пополнения портфеля альтернативных инструментов. По истечении периода формирования портфеля альтернативных инструментов, совокупный объем облигаций и акций не превышает 15 (пятнадцати) процентов.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