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ef08" w14:textId="2b0e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мая 2023 года № 16. Зарегистрировано Департаментом юстиции Актюбинской области 16 мая 2023 года № 8351. Утратило силу решением Иргизского районного маслихата Актюбинской области от 15 сентября 2023 года № 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под № 7502)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11 мая 2023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Иргизского районного маслихата от 21 сентября 2020 года № 333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Иргизском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Иргизском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Иргизского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"Иргизский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статьей 16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Закона Республики Казахстан от 14 апреля 1993 года "О реабилитации жертв массовых политических репрессий",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"О ветеранах"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лет, единовременно без учета среднедушевого дохода-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согласно Закона Республики Казахстан от 14 апреля 1993 года "О реабилитации жертв массовых политических репрессий" – в размере 120 000 (сто двадцать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 и лица, страдающие туберкулезным заболеванием, находящиеся на амбулаторном лечении, согласно списков, представленных государственным коммунальным предприятием "Иргизская районная больница" на праве хозяйственного ведения государственного учреждения "Управление здравоохранения Актюбинской области", а также лица инфицированные вирусом иммунодефицита человека, согласно справок представляемых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 - предоставляется единовременно, с учетом среднедушевого дохода лица (семьи), не превышающего порога однократного размера прожиточного минимума -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в течение шести месяцев с момента наступления данной ситуации по месту возникновения стихийного бедствия или пожара, без учета среднедушевого дохода в размере не более 300 000 (триста тысяч) тенге,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Правила распространяются на лиц, постоянно проживающих в Иргизском районе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порядке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