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c050" w14:textId="467c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субсидий, а также объемы субсидий на удешевление стоимости пестицидов, биоагентов (энтомофагов)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июня 2023 года № 1422. Зарегистрировано в Департаменте юстиции города Шымкент 1 июля 2023 года № 187-17.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