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997f" w14:textId="9239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закуп сельскохозяйственной продукции для производства продуктов еҰ глубокой переработки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24 апреля 2023 года № 83. Зарегистрировано Департаментом юстиции области Абай 27 апреля 2023 года № 53-18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12-7)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№ 10087),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закуп сельскохозяйственной продукции для производства продуктов ее глубокой переработки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закуп сельскохозяйственной продукции для производства продуктов ее глубокой переработки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закупаемой сельскохозяйственной продукции, тенге/л и тенге/кг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