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fef0" w14:textId="5eaf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реках Какпатас I, II, III в Кордайском районе Жамбылской области в границах земельного отвода товарищества с ограниченной ответственностью "Шокпар-Гагаринское"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декабря 2023 года № 276. Зарегистрировано Департаментом юстиции Жамбылской области от 25 декабря 2023 года № 5139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11838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реках Какпатас I, II, III в Кордайском районе Жамбылской области в границах земельного отвода товарищества с ограниченной ответственностью "Шокпар-Гагаринское"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на реках Какпатас I, II, III в Кордайском районе Жамбылской области в границах земельного отвода товарищества с ограниченной ответственностью "Шокпар-Гагаринское"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Шу-Таласская бассейновая инспекция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водного хозяйства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водных ресурсов и ирригации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санитарно-эпидемиологического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Жамбылской области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2023 года № 276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знаки и места их установки в пределах водоохранных зон и полос на территории участка рек Какпатас I, II, III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знака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 реки, (километр)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(WGS 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(WGS 84)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 I – 2,6 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1,613"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41' 3,308"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1,613"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41' 3,308"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14,156"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40' 54,958"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21,603"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40' 54,473"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0 -2,6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35,246"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40' 51,187"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35,246"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40' 51,187"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 II – 6,5 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55,983"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50,414"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43,435"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56,456"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36,215"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38' 0,651"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21,862"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58,131"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38,819"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39' 6,671"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38,819"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39' 6,671"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29,408"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39' 21,623"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23,537"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39' 25,738"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10,876"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39' 32,163"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10,876"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39' 32,163"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 III – 3,9 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54,354"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52,111"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54,354"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52,111"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25' 6,134"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44,335"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25' 12,950"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42,311"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25' 29,941"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35,878" 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25' 29,941"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37' 35,877" E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276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разработан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 исполнительным органом Жамбылской области.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транспорта.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предусматривать замкнутые (бессточные) системы технического водоснабжения.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органами в порядке, установленном законами Республики Казахстан.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проекты подлежат согласованию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Строительные, дноуглубительные и взрывные работы, добыча полезных ископаемых и других ресурсов, прокладка кабелей, трубопроводов и других коммуникаций, рубка леса, буровые и иные работы на водных объектах или водоохранных зонах, влияющие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 исполнительным органом Жамбылской области, на водных объектах, отнесенных к судоходным, - дополнительно и с органами водного транспорта.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производства работ на водных объектах и их водоохранных зонах определяется для каждого водного объекта отдельно с учетом их состояния, требований сохранения экологической устойчивости окружающей среды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исполнительным органам Жамбылской области и иными заинтересованными государственными органами.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