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4686" w14:textId="c784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Улытауского районного маслихата от 12 июля 2017 года № 108 "Об утверждении Положения о награждении Почетной грамотой Улытауского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13 ноября 2023 года № 66. Зарегистрировано в Департаменте юстиции области Ұлытау 21 ноября 2023 года № 71-20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июля 2017 года № 108 "Об утверждении Положения о награждении Почетной грамотой Улытауского района" (зарегистрировано в Реестре государственной регистрации нормативных правовых актов за № 4337)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Улытауского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Представление к награждению Почетной грамотой направляется в аппарат акима района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коллектива), дается характеристика с изложением конкретных трудовых и творческих заслуг, вклада в развитие района. Представление подписывается первым руководителем и скрепляется печатью при наличии.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принимается акимом района и председателем районного маслихата (или лицами, исполняющими их обязанности) согласно положительному заключению Комиссии путем издания совместного распоряжения.";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лично награждаемому в торжественной обстановке. Почетную грамоту вручает аким и (или) председатель районного маслихата, либо иное лицо по их поручению.";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грамм, печать цветная, золото с двух сторон с изображением государственной символики – Государственного Герба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развивающегося Государственного Флага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тиснением, ниже под надписью текст на государственном и русском языках, который содержит слово: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района и председателя районного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