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bb15" w14:textId="c89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Текели</w:t>
      </w:r>
    </w:p>
    <w:p>
      <w:pPr>
        <w:spacing w:after="0"/>
        <w:ind w:left="0"/>
        <w:jc w:val="both"/>
      </w:pPr>
      <w:r>
        <w:rPr>
          <w:rFonts w:ascii="Times New Roman"/>
          <w:b w:val="false"/>
          <w:i w:val="false"/>
          <w:color w:val="000000"/>
          <w:sz w:val="28"/>
        </w:rPr>
        <w:t>Постановление акимата города Текели области Жетісу от 6 июня 2023 года № 211. Зарегистрировано Департаментом юстиции области жетісу 8 июня 2023 года № 38-19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Текели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Текели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Текели.</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rPr>
                <w:rFonts w:ascii="Times New Roman"/>
                <w:b w:val="false"/>
                <w:i w:val="false"/>
                <w:color w:val="000000"/>
                <w:sz w:val="20"/>
              </w:rPr>
              <w:t>от 6 июня 2023 года № 211</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Текели</w:t>
      </w:r>
    </w:p>
    <w:bookmarkEnd w:id="4"/>
    <w:bookmarkStart w:name="z15" w:id="5"/>
    <w:p>
      <w:pPr>
        <w:spacing w:after="0"/>
        <w:ind w:left="0"/>
        <w:jc w:val="both"/>
      </w:pPr>
      <w:r>
        <w:rPr>
          <w:rFonts w:ascii="Times New Roman"/>
          <w:b w:val="false"/>
          <w:i w:val="false"/>
          <w:color w:val="000000"/>
          <w:sz w:val="28"/>
        </w:rPr>
        <w:t>
      1. Общее правило</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Текели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Текели.</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7"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8"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bookmarkStart w:name="z29"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по городу Текели или его части.</w:t>
      </w:r>
    </w:p>
    <w:bookmarkEnd w:id="19"/>
    <w:bookmarkStart w:name="z30"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31"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32" w:id="22"/>
    <w:p>
      <w:pPr>
        <w:spacing w:after="0"/>
        <w:ind w:left="0"/>
        <w:jc w:val="both"/>
      </w:pPr>
      <w:r>
        <w:rPr>
          <w:rFonts w:ascii="Times New Roman"/>
          <w:b w:val="false"/>
          <w:i w:val="false"/>
          <w:color w:val="000000"/>
          <w:sz w:val="28"/>
        </w:rPr>
        <w:t>
      2. Порядок организации мероприятий по текущему или капитальному ремонту фасадов, кровли многоквартирных жилых домов</w:t>
      </w:r>
    </w:p>
    <w:bookmarkEnd w:id="22"/>
    <w:bookmarkStart w:name="z33"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4" w:id="24"/>
    <w:p>
      <w:pPr>
        <w:spacing w:after="0"/>
        <w:ind w:left="0"/>
        <w:jc w:val="both"/>
      </w:pPr>
      <w:r>
        <w:rPr>
          <w:rFonts w:ascii="Times New Roman"/>
          <w:b w:val="false"/>
          <w:i w:val="false"/>
          <w:color w:val="000000"/>
          <w:sz w:val="28"/>
        </w:rPr>
        <w:t>
      7. Жилищной инспекцией города совместно с акимами соответствующих районов в городе и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5"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акимами соответствующих районов в городе организуются следующие работы:</w:t>
      </w:r>
    </w:p>
    <w:bookmarkEnd w:id="25"/>
    <w:bookmarkStart w:name="z36"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проектом единого архитектурного облика города или его части;</w:t>
      </w:r>
    </w:p>
    <w:bookmarkEnd w:id="26"/>
    <w:bookmarkStart w:name="z37"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8"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размещении рекламных конструкций на фасаде либо кровле дома.</w:t>
      </w:r>
    </w:p>
    <w:bookmarkEnd w:id="28"/>
    <w:bookmarkStart w:name="z39"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40"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41"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42"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43" w:id="33"/>
    <w:p>
      <w:pPr>
        <w:spacing w:after="0"/>
        <w:ind w:left="0"/>
        <w:jc w:val="both"/>
      </w:pPr>
      <w:r>
        <w:rPr>
          <w:rFonts w:ascii="Times New Roman"/>
          <w:b w:val="false"/>
          <w:i w:val="false"/>
          <w:color w:val="000000"/>
          <w:sz w:val="28"/>
        </w:rPr>
        <w:t>
      3. Порядок проведения мероприятий по текущему или капитальному ремонту фасадов, кровли многоквартирных жилых домов</w:t>
      </w:r>
    </w:p>
    <w:bookmarkEnd w:id="33"/>
    <w:bookmarkStart w:name="z44"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5"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6"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7"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8"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9" w:id="39"/>
    <w:p>
      <w:pPr>
        <w:spacing w:after="0"/>
        <w:ind w:left="0"/>
        <w:jc w:val="both"/>
      </w:pPr>
      <w:r>
        <w:rPr>
          <w:rFonts w:ascii="Times New Roman"/>
          <w:b w:val="false"/>
          <w:i w:val="false"/>
          <w:color w:val="000000"/>
          <w:sz w:val="28"/>
        </w:rPr>
        <w:t>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пунктом 7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50"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51"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52" w:id="42"/>
    <w:p>
      <w:pPr>
        <w:spacing w:after="0"/>
        <w:ind w:left="0"/>
        <w:jc w:val="both"/>
      </w:pPr>
      <w:r>
        <w:rPr>
          <w:rFonts w:ascii="Times New Roman"/>
          <w:b w:val="false"/>
          <w:i w:val="false"/>
          <w:color w:val="000000"/>
          <w:sz w:val="28"/>
        </w:rPr>
        <w:t>
      4. Заключительные положения</w:t>
      </w:r>
    </w:p>
    <w:bookmarkEnd w:id="42"/>
    <w:bookmarkStart w:name="z53"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Текели осуществляется из средств местного бюджета.</w:t>
      </w:r>
    </w:p>
    <w:bookmarkEnd w:id="43"/>
    <w:bookmarkStart w:name="z54" w:id="44"/>
    <w:p>
      <w:pPr>
        <w:spacing w:after="0"/>
        <w:ind w:left="0"/>
        <w:jc w:val="both"/>
      </w:pPr>
      <w:r>
        <w:rPr>
          <w:rFonts w:ascii="Times New Roman"/>
          <w:b w:val="false"/>
          <w:i w:val="false"/>
          <w:color w:val="000000"/>
          <w:sz w:val="28"/>
        </w:rPr>
        <w:t>
      19. Дальнейшее содержание и обеспечение безопасной эксплуатации фасадов и кровли, после проведенных ремонтных работ, осуществляется собственниками квартир и нежилых помещений.</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