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b3df" w14:textId="370b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декабря 2021 года № 15-77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20 ноября 2023 года № 08-72. Зарегистрировано Департаментом юстиции области Жетісу 22 ноября 2023 года № 94-19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Кербулакском районе" от 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161544)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 согласно приложению к настоящему решению";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20 ноября 2023 года № 08-72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Кербулакского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Кербулакского района),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