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a91c" w14:textId="4a8a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Осакаровского районного маслихата от 25 декабря 2013 года №262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31 марта 2023 года № 2/18. Зарегистрировано Департаментом юстиции Карагандинской области 4 апреля 2023 года № 6372-09.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№2523)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9)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памятные даты – события, имеющие общенародное историческое, духовное, культурное значение и оказавшие влияние на ход истории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предельный размер – утвержденный максимальный размер социальной помощи;";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к праздничным дням и памятным датам оказывается единовременно следующим категориям граждан: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приравненных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приравненных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Столицы – 6 июля: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–30 августа: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пожилых людей - 1 октября: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достигшим семидесяти лет и старше;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- 16 декабря: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принимавшие участие в событиях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– единовременно в размере – 10 (десять) месячных расчетных показателей;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шести месяцев с момента возникновения данной ситуации одному из собственников жилья (жилища), без учета среднедушевого дохода – единовременно в размере – 200 (двести) месячных расчетных показателей;";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родителям или иным законным представителям детей с инвалидностью и лицам, сопровождающим лиц с инвалидностью первой группы на санаторно-курортное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санатарно-курортного лечения на основании заявления с приложением документов, предусмотренных пунктом 13 Типовых правил.";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Основания для прекращения и возврата предоставляемой социальной помощи определяется согласно главе 4 Типовых правил.";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Порядок обжалования решений, действий (бездействия) услугодателя и (или) его должностных лиц по вопросам оказания государственной услуги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утвержденных Приказом Министра труда и социальной защиты населения Республики Казахстан от 25 марта 2021 года №84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№22394).".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