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7e66" w14:textId="226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мая 2023 года № 87. Зарегистрировано в Департаменте юстиции Атырауской области 1 июня 2023 года № 5032-06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удобрений (за исключением органических)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87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87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75 121 000,0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