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431a" w14:textId="ce24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15 марта 2023 года № 175. Зарегистрировано Департаментом юстиции Восточно-Казахстанской области 17 марта 2023 года № 8823-16</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Курчумского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Курчумского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Курчумского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Курчумского района</w:t>
            </w:r>
            <w:r>
              <w:br/>
            </w:r>
            <w:r>
              <w:rPr>
                <w:rFonts w:ascii="Times New Roman"/>
                <w:b w:val="false"/>
                <w:i w:val="false"/>
                <w:color w:val="000000"/>
                <w:sz w:val="20"/>
              </w:rPr>
              <w:t>от 15 марта 2023 года</w:t>
            </w:r>
            <w:r>
              <w:br/>
            </w:r>
            <w:r>
              <w:rPr>
                <w:rFonts w:ascii="Times New Roman"/>
                <w:b w:val="false"/>
                <w:i w:val="false"/>
                <w:color w:val="000000"/>
                <w:sz w:val="20"/>
              </w:rPr>
              <w:t>№ 175</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Курчумского района Восточно-Казахстанской области от 28.03.2024 </w:t>
      </w:r>
      <w:r>
        <w:rPr>
          <w:rFonts w:ascii="Times New Roman"/>
          <w:b w:val="false"/>
          <w:i w:val="false"/>
          <w:color w:val="000000"/>
          <w:sz w:val="28"/>
        </w:rPr>
        <w:t>№ 133</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Курчумскому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Курчумского района.</w:t>
      </w:r>
    </w:p>
    <w:bookmarkEnd w:id="19"/>
    <w:bookmarkStart w:name="z27" w:id="20"/>
    <w:p>
      <w:pPr>
        <w:spacing w:after="0"/>
        <w:ind w:left="0"/>
        <w:jc w:val="both"/>
      </w:pPr>
      <w:r>
        <w:rPr>
          <w:rFonts w:ascii="Times New Roman"/>
          <w:b w:val="false"/>
          <w:i w:val="false"/>
          <w:color w:val="000000"/>
          <w:sz w:val="28"/>
        </w:rPr>
        <w:t>
      5. АкиматКурчумского района организуют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Курчумского района на официальном интернет-ресурсеакимата;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Курчумского района Восточно-Казахстанской области от 28.03.2024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