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8be7" w14:textId="b5a8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Уланского районного маслихата от 21 февраля 2022 года № 129 "Об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27 июня 2023 года № 52. Зарегистрировано Департаментом юстиции Восточно-Казахстанской области 4 июля 2023 года № 8881-16</w:t>
      </w:r>
    </w:p>
    <w:p>
      <w:pPr>
        <w:spacing w:after="0"/>
        <w:ind w:left="0"/>
        <w:jc w:val="both"/>
      </w:pPr>
      <w:bookmarkStart w:name="z5" w:id="0"/>
      <w:r>
        <w:rPr>
          <w:rFonts w:ascii="Times New Roman"/>
          <w:b w:val="false"/>
          <w:i w:val="false"/>
          <w:color w:val="000000"/>
          <w:sz w:val="28"/>
        </w:rPr>
        <w:t>
      Уланский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от 21 февраля 2022 года № 129 "Об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(зарегистрировано в Реестре государственной регистрации нормативных правовых актов под № 26958) следующее изменение: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либо отделения акционерного общества "Казпочта", путем зачисления на лицевые счета получателей.".</w:t>
      </w:r>
    </w:p>
    <w:bookmarkEnd w:id="3"/>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