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3cb4" w14:textId="dfd3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Теректинского района</w:t>
      </w:r>
    </w:p>
    <w:p>
      <w:pPr>
        <w:spacing w:after="0"/>
        <w:ind w:left="0"/>
        <w:jc w:val="both"/>
      </w:pPr>
      <w:r>
        <w:rPr>
          <w:rFonts w:ascii="Times New Roman"/>
          <w:b w:val="false"/>
          <w:i w:val="false"/>
          <w:color w:val="000000"/>
          <w:sz w:val="28"/>
        </w:rPr>
        <w:t>Решение Теректинского районного маслихата Западно-Казахстанской области от 17 октября 2023 года № 8-3. Зарегистрирован в Департаменте юстиции Западно-Казахстанской области 18 октября 2023 года № 7270-07.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Теректинский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Теректинского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Теректинского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Теректинского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17 октября 2023 года № 8-3</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Теректинского района </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Теректинского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Теректинского района Западно-Казахстанской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Теректинского района";</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Теректинского районного маслихата Западно-Казахстанской области от 18.06.2024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25)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34) лицам, 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 xml:space="preserve">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100 (сто)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Теректинского районного маслихата Западно-Казахстанской области от 22.12.2023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18.06.2024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Глава 3. Порядок оказания социальной помощи.</w:t>
      </w:r>
    </w:p>
    <w:bookmarkEnd w:id="78"/>
    <w:bookmarkStart w:name="z84" w:id="79"/>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9"/>
    <w:bookmarkStart w:name="z85" w:id="80"/>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0"/>
    <w:bookmarkStart w:name="z86" w:id="81"/>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1"/>
    <w:bookmarkStart w:name="z87" w:id="82"/>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Теректинского района на текущий финансовый год.</w:t>
      </w:r>
    </w:p>
    <w:bookmarkEnd w:id="82"/>
    <w:bookmarkStart w:name="z88" w:id="83"/>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3"/>
    <w:bookmarkStart w:name="z89" w:id="84"/>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4"/>
    <w:bookmarkStart w:name="z90" w:id="85"/>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