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226d" w14:textId="e942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7 февраля 2018 года № 136 "Об утверждении перечня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10 января 2024 года № 5. Зарегистрирован в Министерстве юстиции Республики Казахстан 11 января 2024 года № 33901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7 февраля 2018 года № 136 "Об утверждении перечня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(зарегистрирован в Реестре государственной регистрации нормативных правовых актов под № 16423)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утвержденным указанным приказом:</w:t>
      </w:r>
    </w:p>
    <w:bookmarkEnd w:id="2"/>
    <w:bookmarkStart w:name="z7" w:id="3"/>
    <w:p>
      <w:pPr>
        <w:spacing w:after="0"/>
        <w:ind w:left="0"/>
        <w:jc w:val="both"/>
      </w:pPr>
      <w:r>
        <w:rPr>
          <w:rFonts w:ascii="Times New Roman"/>
          <w:b w:val="false"/>
          <w:i w:val="false"/>
          <w:color w:val="000000"/>
          <w:sz w:val="28"/>
        </w:rPr>
        <w:t>
      строку, порядковый номер 6, изложить в следующей редакции:</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промышленности и строительства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r>
    </w:tbl>
    <w:bookmarkStart w:name="z9" w:id="5"/>
    <w:p>
      <w:pPr>
        <w:spacing w:after="0"/>
        <w:ind w:left="0"/>
        <w:jc w:val="both"/>
      </w:pP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строку, порядковый номер 11, изложить в следующей редакции:</w:t>
      </w:r>
    </w:p>
    <w:bookmarkEnd w:id="6"/>
    <w:bookmarkStart w:name="z11"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лесохозяйственного производства при изъятии лесных угодий для использования их в целях, не связанных с ведением лесного хозяйства</w:t>
            </w:r>
          </w:p>
        </w:tc>
      </w:tr>
    </w:tbl>
    <w:bookmarkStart w:name="z12" w:id="8"/>
    <w:p>
      <w:pPr>
        <w:spacing w:after="0"/>
        <w:ind w:left="0"/>
        <w:jc w:val="both"/>
      </w:pP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2. Департаменту налогового и таможенного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9"/>
    <w:bookmarkStart w:name="z14"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5" w:id="11"/>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1"/>
    <w:bookmarkStart w:name="z16" w:id="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2"/>
    <w:bookmarkStart w:name="z17" w:id="1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