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be88" w14:textId="c4cb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19 ноября 2019 года № 90 "Об утверждении Правил формирования тарифов"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26 января 2024 года № 1. Зарегистрирован в Министерстве юстиции Республики Казахстан 30 января 2024 года № 33943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2019 года № 90 "Об утверждении Правил формирования тарифов" (зарегистрирован в Реестре государственной регистрации нормативных правовых актов за № 19617)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"14-1) данные о фактическом использовании мощности субъекта естественной монополии из объектов информатизации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"247. В целях дифференциации тарифа на регулируемые услуги водоснабжения и (или) водоотведения потребители подразделяются на группы: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 относящиеся к категории населения, организации, занимающиеся производством тепловой энергии, в пределах объемов потребления воды на собственные нужды в процессе производства тепловой энергии и объемов подпитки при предоставлении услуг горячего водоснабжения (при открытой системе горячего водоснабжения), организации, занимающиеся передачей и распределением тепловой энергии, в пределах объемов утвержденных нормативных технических потерь и организации, предоставляющие регулируемые услуги в сфере водоснабжения и (или) водоотведения – первая группа;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прочие потребители – юридические лица, не входящие в состав первой и третьей групп – вторая группа;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организации, содержащиеся за счет бюджетных средств – третья группа.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физических лиц к ресурсосбережению, тариф первой группы дифференцируется по следующим категориям потребителей: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подгруппа - физические лица, относящиеся к категории населения потребляющие регулируемые услуги до 3 в месяц на 1 человека;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подгруппа - физические лица, относящиеся к категории населения потребляющие регулируемые услуги от 3 до 5 в месяц на 1 человека;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подгруппа - физические лица, относящиеся к категории населения потребляющие регулируемые услуги от 5 до 10 в месяц на 1 человека, организации, занимающиеся производством тепловой энергии, в пределах объемов потребления воды на собственные нужды в процессе производства тепловой энергии и объемов подпитки при предоставлении услуг горячего водоснабжения (при открытой системе горячего водоснабжения), организации, занимающиеся передачей и распределением тепловой энергии, в пределах объемов утвержденных нормативных технических потерь и организации, предоставляющие регулируемые услуги в сфере водоснабжения и (или) водоотведения";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подгруппа - физические лица, относящиеся к категории населения потребляющие регулируемые услуги выше 10 в месяц на 1 человека.";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247-1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"247-1. Полученный субъектом естественной монополий дополнительный доход при применений тарифов подгрупп 2, 3, 4 первой группы потребителей "физические лица, относящиеся к категории населения относящиеся к категории населения" направляется на модернизацию, реконструкцию оборудования и сетей по регулируемой услуге, а также приобретение основных средств (оборудование).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уполномоченным органом при анализе отчета об исполнений утвержденной тарифной сметы нецелевого использования дополнительного дохода, то необоснованный доход исключается от утвержденного всего дохода субъекта естественной монополий.";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249-1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"249-1. Тариф на регулируемые услуги водоснабжения и (или) водоотведения для следующих категорий первой группы определяются по формулам: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Тнас1 = Тнас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Тнас2 = 1,2*Тнас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Тнас3 = 1,5*Тнас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Тнас4 = 2*Тнас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Тнас1 – тариф 1 подгруппы;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Тнас – тариф определенный в соответствии с пунктом 249 настоящих Правил.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Тнас2 – тариф 2 подгруппы;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Тнас3 – тариф 3 подгруппы;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Тнас4 – тариф 4 подгруппы.";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"268. Тариф на регулируемые услуги по снабжению тепловой энергией дифференцируется по группам потребителей, в том числе в зависимости от наличия или отсутствия общедомовых приборов учета потребления тепловой энергии и (или) общей отапливаемой площади помещения.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для групп потребителей определяются исходя из тарифа, определенного в соответствии с Особенностями механизма расчета тарифа на регулируемые услуги по снабжению тепловой энергией согласно разделу 3 параграфа 2 настоящих Правил, с учетом: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платежеспособности населения соответствующего региона;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влияния на инфляцию;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структуры потребления тепловой энергии;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развития промышленного производства;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стимулов для энергосбережения.";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272-1, 272-2 и 272-3 следующего содержания: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"272-1. В рамках установления социальных лимитов потребления тепловой энергии с учетом размера общей площади потребители первой группы физические лица, относящиеся к категории населения подразделяются на три подгруппы: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подгруппа – физические лица, относящиеся к категории населения, отапливаемая площадь до 100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подгруппа – физические лица, относящиеся к категории населения, отапливаемая площадь свыше 100 до 200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подгруппа – физические лица, относящиеся к категории населения, отапливаемая площадь свыше 200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272-2. Тариф на услуги снабжения тепловой энергии для подгрупп определяется следующим образом: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подгруппа физические лица, относящиеся к категории населения, отапливаемая площадь до 100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Тнас1=Тнас, где: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Тнас1 – тариф физических лиц, относящиеся к категории населения – 1 подгруппа;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Тнас – тариф определенный в соответствии с пунктом 270 настоящих Правил;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подгруппа – физические лица, относящиеся к категории населения отапливаемая площадь свыше 100 до 200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Тнас2=Тнас*1,1, где: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Тнас2 – тариф физических лиц, относящихся к категории населения – 2 подгруппа.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для определенного объема применяется тариф физических лиц, относящиеся к категории населения как для 1 подгруппы населения, на оставшийся объем применяется соответствующий тариф физических лиц для 2 подгруппы населения;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подгруппа – физические лица, относящиеся к категории населения отапливаемая площадь свыше 200 м2: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Тнас3=То, где: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Тнас3 – тариф физических лиц, относящиеся к категории населения – 3 подгруппа;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 – тариф, определенный с учетом требований настоящих Правил на услуги снабжения тепловой энергией (среднеотпускной тариф).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для определенного объема применяются тарифы физических лиц, относящиеся к категории населения как для 1 и 2 подгруппы населения, на оставшийся объем применяется соответствующий тариф физических лиц, относящиеся к категории населения для 3-ей подгруппы населения.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272-3. Полученный субъектом естественных монополий дополнительный доход, при применений тарифа для подгруппы 2 и 3 первой группы потребителей "физические лица, относящиеся к категории населения" направляется на модернизацию, реконструкцию оборудования и сетей по регулируемой услуге, а также приобретение основных средств (оборудование).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ведомством уполномоченного органа, при анализе отчета об исполнений утвержденной тарифной сметы нецелевого использования дополнительного дохода, то необоснованный доход исключается от утвержденного всего дохода субъекта естественной монополий.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органа, при проведении анализа отчета об исполнений утвержденной тарифной сметы исключает сумму нецелевого использования дополнительного дохода от утвержденного всего дохода.";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341 изложить в следующей редакции: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информация об инвестиционных затратах на реализацию инвестиционной программы с указанием стоимости приобретаемых основных средств, строительно-монтажных работ с приложением сравнительного анализа уровня цен, в том числе документального технического подтверждения необходимости проведения таких работ, сводных сметных расчетов, объектных, локальных и ресурсных смет отдельно по каждому объекту, бизнес-план, прайс-листы, копии договоров, проектно-сметная документация, прошедшая экспертизу (в случае наличия).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заявления на утверждение инвестиционной программы осуществляется без проектной (проектно-сметной) документации по эскизам (эскизным проектам) согласованный с местными исполнительными органами городов республиканского значения, столицы, районов (городов областного значения)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Республики Казахстан "Об архитектурной, градостроительной и строительной деятельности в Республике Казахстан";";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"604. К заявке на изменение тарифа прилагаются: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записка, с указанием причин изменения утвержденного ведомством уполномоченного органа тарифа до истечения его срока действия;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тарифной сметы в соответствии с Перечнем затрат, учитываемых и не учитываемых в тарифе, Правилами ограничения размеров затрат, учитываемых в тарифе, согласно настоящим Правилам. При этом, в случае увеличения стоимости стратегических товаров в тарифной смете корректируются только статьи затрат, включающие использование стратегических товаров и (или) подлежащих государственному регулированию тарифов (цен) на транспортировку стратегических товаров;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необходимость изменения утвержденного ведомством уполномоченного органа тарифа до истечения его срока действия.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стоимости стратегических товаров и (или) подлежащих государственному регулированию тарифов (цен) на транспортировку стратегических товаров к заявке на утверждение тарифа прилагаются конкурсная документация, решения конкурсных (тендерных) комиссий по закупке товаров, договора, счета-фактуры, расчеты уровня затрат, а также произведенные на основе типовых норм и нормативов, действующих в соответствующей отрасли (сфере), расчеты технических потерь, нормах расхода стратегического товара.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ведомством уполномоченного органа заявки об изменении тарифа до истечения его срока действия в случаях, предусмотренных: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подпунктами 1), 2), 3) и 5) пункта 601 настоящих Правил, составляет не более десяти рабочих дней со дня ее представления;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подпунктами 4), 6), 10) и 11) пункта 601 настоящих Правил, составляет не более тридцати рабочих дней со дня ее представления;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подпунктом 12) пункта 601 настоящих Правил, составляет не более девяноста рабочих дней со дня ее представления.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стоимости стратегических товаров и (или) подлежащих государственному регулированию тарифов (цен) на транспортировку стратегических товаров к заявке на утверждение тарифа прилагаются конкурсная документация, решения конкурсных (тендерных) комиссий по закупке товаров, за исключением субъектов, предоставляющих регулируемые услуги в сферах передачи электрической энергии, договора, счета-фактуры, расчеты уровня затрат, а также произведенные на основе типовых норм и нормативов, действующих в соответствующей отрасли (сфере), расчеты технических потерь, нормах расхода стратегического товара.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Субъекты, предоставляющие регулируемые услуги в сферах передачи электрической энергии в случае изменения стоимости стратегических товаров и (или) подлежащих государственному регулированию тарифов (цен) на транспортировку стратегических товаров к заявке на утверждение тарифа дополнительно предоставляют прогнозные значения базовой цены и прогнозные тарифы на соответствующий период.".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3" w:id="7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4" w:id="7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5" w:id="7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6" w:id="7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