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3a3" w14:textId="6cc6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труда и социальной защиты населения Республики Казахстан от 30 июня 2023 года № 279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февраля 2024 года № 55. Зарегистрирован в Министерстве юстиции Республики Казахстан 1 марта 2024 года № 34094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32977)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1-МСК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за выдачей и продлением разрешения на привлечение иностранной рабочей силы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работники,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сила,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5 он не учитывается.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кадрах" (индекс – 1-МСК, периодичность – единовременная)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категории привлекаемой иностранной рабочей силы;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всего (не учитываются иностранные работники, работающие без разрешений на привлечение иностранной рабочей силы) иностранной рабочей силы, привлекаемой по разрешениям на привлечение иностранной рабочей силы;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 иностранная рабочая сила, привлекаемая по разрешениям на привлечение иностранной рабочей силы;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привлечению, человек;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 к общему количеству работников, графа 7/ графа 6*100%.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принимаемых особых условиях для получения или продления разрешений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2-ПОУППР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для получения или продления разрешений в особых условиях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принимаемых особых условиях для получения или продления разрешений" 2- ПОУППР</w:t>
      </w:r>
      <w:r>
        <w:br/>
      </w:r>
      <w:r>
        <w:rPr>
          <w:rFonts w:ascii="Times New Roman"/>
          <w:b/>
          <w:i w:val="false"/>
          <w:color w:val="000000"/>
        </w:rPr>
        <w:t>(индекс – 2-ПОУППР, периодичность – единовременная)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(при его наличии) привлекаемых иностранных работников;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Категория, профессия (специальность), привлекаемых иностранных работников согласно заявлению работодателя;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срок выполнения особых условий.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 при привлечении иностранных работников в рамках внутрикорпоративного перевода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3-МСКРИРРВП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иностранная рабочая сила, работающая по разрешениям в рамках внутрикорпоративного перевода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иностранный работник учтен в графе 4, то в графе 5 он не учитывается.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 при привлечении иностранных работников в рамках внутрикорпоративного перевода"</w:t>
      </w:r>
      <w:r>
        <w:br/>
      </w:r>
      <w:r>
        <w:rPr>
          <w:rFonts w:ascii="Times New Roman"/>
          <w:b/>
          <w:i w:val="false"/>
          <w:color w:val="000000"/>
        </w:rPr>
        <w:t>(индекс – 3-МСКРИРРВП, периодичность – единовременная)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наименования должностей категории, привлекаемой иностранных работников в рамках внутрикорпоративного перевода;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работников работодателя, человек;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числе: иностранная рабочая сила, работающая по разрешениям в рамках внутрикорпоративного перевода;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 в рамках внутрикорпоративного перевода, человек;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59"/>
    <w:bookmarkStart w:name="z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выполнении особых условий и привлекаемой иностранной рабочей силе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4-ВОУПИРС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органа, выдающего разрешение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переобученных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на конец месяца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без разрешений на привлечение иностранной рабочей силы в т.ч. по категориям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bookmarkStart w:name="z102" w:id="67"/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 привлекаемой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выполнении особых условий и привлекаемой иностранной рабочей силе"</w:t>
      </w:r>
      <w:r>
        <w:br/>
      </w:r>
      <w:r>
        <w:rPr>
          <w:rFonts w:ascii="Times New Roman"/>
          <w:b/>
          <w:i w:val="false"/>
          <w:color w:val="000000"/>
        </w:rPr>
        <w:t>(индекс – 4-ВОУПИРС, периодичность – единовременная)</w:t>
      </w:r>
    </w:p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органа, выдающего разрешение;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переобученных казахстанских граждан (с указанием фамилии, имени, отчества (при его наличии), индивидуальный идентификационный номер);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работающих казахстанских граждан (с указанием фамилии, имени, отчества (при его наличии), индивидуальный идентификационный номер);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работающей иностранной рабочей силы;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исхода иностранной рабочей силы;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классификатор стран мира, утвержденный решением комиссии Таможенного союза от 20 сентября 2010г. № 378 согласно приложению № 22.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специальность, по которым привлекается иностранная рабочая сила;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работающей иностранной рабочей силы;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работающей иностранной рабочей силы на конец месяца по видам экономической деятельности;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страна исхода работающей иностранной рабочей силы без разрешений на привлечение иностранной рабочей силы по категориям;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специальность, по которым привлекается иностранная рабочая сила работающей иностранной рабочей силы без разрешений на привлечение иностранной рабочей силы по категориям;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наименование работодателя работающей иностранной рабочей силы без разрешений на привлечение иностранной рабочей силы по категориям.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