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378" w14:textId="964f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приказ Министра экологии и природных ресурсов Республики Казахстан от 17 января 2023 года № 9 "Об утверждении методик по расчету выбросов и поглощения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марта 2024 года № 55. Зарегистрирован в Министерстве юстиции Республики Казахстан 4 марта 2024 года № 34109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17 января 2023 года № 9 "Об утверждении методик по расчету выбросов и поглощения парниковых газов" (зарегистрирован в Реестре государственной регистрации нормативных правовых актов под № 31735)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Компонентный состав представляется в объемных долях либо молярных долях. При неопределяемых компонентах, состав газа консервативно принимается на основе этана. При этом ЭРИ производит автоматический перерасчет объемных долей в молярные доли. Сумма долей различных компонентов составляет 1.";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Информацию по составу газа и его плотности оператор установки учитывает для каждой партии газа индивидуально, затем осуществляет суммирование полученных результатов и использует в расчетах усредненные показатели за отчетный период".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  <w:r>
        <w:br/>
      </w:r>
      <w:r>
        <w:rPr>
          <w:rFonts w:ascii="Times New Roman"/>
          <w:b/>
          <w:i w:val="false"/>
          <w:color w:val="000000"/>
        </w:rPr>
        <w:t>Коэффициенты по умолчанию для горючих газов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процесс/источник газа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газа (при стандартных условиях)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Массовая/объемная доля углерода в газе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выбросов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сжигании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объемная теплота сгорания t–20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р–101325 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 кубический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углерода/масса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углерода/ 1000 метров кубический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/масса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/1000 метров кубических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/терраджоуль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терраджоуль/1000 метров кубических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Полукоксовый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полукокса из углей Шубаркольского разреза (спецкокс)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Выплавка передельного чугуна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Выплавка литейного чугуна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Конвенторный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Выплавка стали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феррохрома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силикомарганца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ферросилиция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Ферросплавный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ферромарганца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Табличные значения объемных показателей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газа/процесса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газа (при стандартных условиях)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Массовая/объемная доля углерода в газе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выбросов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сжигании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объемная теплота сгорания t–20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р–101325 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килограмм/метр кубический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углеро да/тонн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углерода/ 1000 метров кубических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/1000 метров кубических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CО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/терра джоуль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терраджоуль/1000 метров кубических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Ртабл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Мтабл (массовая доля)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Мтабл (объемная доля)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EFтабл (массовая)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EFтабл (объемная)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EFJтабл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NCVтабл (объемная)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первичной перегонки нефти (прямое использование топливного газа без обработки)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газ после газофракциниров ки и/или аминовой очистки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63,6540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крегинг мазута под давлением (вискрекинг)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коксование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Каталитический крекинг (бензиновый, обычный режим)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Каталитический реформинг (обычный режим)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Нефтезаводской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Гидроочистка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Отходящий ("кислый")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Отходящие газы установок сероочистки на факельное сжигание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 нефтяной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в теплоагрегатах и на факелах высокого давления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 нефтяной газ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 на факелах низкого давления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Показатель: Коэффициент окисления топлива (вариант 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</w:t>
      </w:r>
      <w:r>
        <w:rPr>
          <w:rFonts w:ascii="Times New Roman"/>
          <w:b w:val="false"/>
          <w:i w:val="false"/>
          <w:color w:val="000000"/>
          <w:vertAlign w:val="subscript"/>
        </w:rPr>
        <w:t>топл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окисления топлива, доля;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 потери тепла в следствии механической неполноты сгорания топлива твердого топлива, %.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рассчитывается в собственной аттестованной производственной лаборатории, либо в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определяется в соответствии с Методическим указаниям по составлению отчета электростанции о тепловой экономичности оборудования недожогом топлива в шлаках и уносе, замеренных в собственной производственной лаборатории, либо в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расходе жидкого топлива равному или меньше 1 % от общего расхода топлива, показатель принимается равным нулю.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возможностей определения коэффициента потери тепла вследствие механической неполноты сгорания твердого и жидкого топлива, показатель принимается равным нулю.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q3- потери тепла в следствии химической неполноты сгорания топлива, %.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определяется в соответствии с Методическими указаниями по составлению отчета электростанции о тепловой экономичности оборудования, либо по нормативным энергетическим характеристикам котлов. При отсутствии данных показатель принимается равным нулю.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квотирования использует усредненный показатель потерь тепла вследствие механической неполноты сгорания твердого или жидкого топлива за рассматриваемый период.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коэффициент окисления топлива, округление производится до четвертой цифр после запятой.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Показатель: Выбросы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47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выбросы CH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сжигании твердого и жидкого топлива (для субъектов администрирования твердого, жидкого и газообразного),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эквивалент;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990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сожженного твердого или жидкого (для субъектов администрирования твердого, жидкого и газообразного) топлива за отчетный период,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74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выбросов CH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сжигании твердого и жидкого (для субъектов администрирования твердого, жидкого и газообразного) топлива, согласно таблицам 2, 3 приложения к настоящей Методике, тонн CH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/ТДж.;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- низшая теплота сгорания рабочего твердого и жидкого топлива (для субъектов администрирования твердого, жидкого и газообразного), ТДж/тонн топлива. Показатель предоставляется поставщиком топлива для каждой предоставленной партии и вида топлива (паспорт топлива) или осуществляется анализ низшей теплоты сгорания твердого и жидкого топлива в собственной аттестованной производственной лаборатории, либо в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 При проведении анализов в лаборатории, частота и периодичность исследований устанавливаются субъектом квотирования самостоятельно и фиксируется в Плане мониторинга. При отсутствии данных показатель принимается согласно таблице 1 приложения к настоящей Методике, ТДж/тонн топлива;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</w:t>
      </w:r>
      <w:r>
        <w:rPr>
          <w:rFonts w:ascii="Times New Roman"/>
          <w:b w:val="false"/>
          <w:i w:val="false"/>
          <w:color w:val="000000"/>
          <w:vertAlign w:val="subscript"/>
        </w:rPr>
        <w:t>топл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окисления топлива, рассчитываемый в соответствии с пунктом 10 либо пунктом 11 настоящей Методики при наличии имеющихся данных. При отсутствии данных, показатель принимается равным 1.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квотирования используют коэффициент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согласно таблице 3 Методики в зависимости от вида топлива и типа используемого оборудования.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администрирования используют коэффициент выбросов N2O согласно таблице 2 Методики в зависимости от вида топлива и типа используемого оборудования.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подходящих коэффициентов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в таблицах 2,3 настоящей Методики, используются значения коэффициентов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O выбранные по принципу схожести агрегатного состояния и использования схожего типа оборудования и технологии сжигания.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092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потенциала глобального потепления для метана,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эквивалент/тонн CH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Показатель определяется в соответствии с пунктом 3 статьи 282 Кодекса и публикуется на официальном интернет ресурсе оператора системы торговли углеродными единицами.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Показатель: Выбросы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11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выбросы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при сжигании твердого и жидкого топлива (для субъектов администрирования твердого, жидкого и газообразного),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эквивалент;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104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сожженного твердого или жидкого (для субъектов администрирования твердого, жидкого и газообразного) топлива за отчетный период,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- низшая теплота сгорания рабочего твердого и жидкого топлива (для субъектов администрирования твердого, жидкого и газообразного), ТДж/тонн топлива. Показатель предоставляется поставщиком топлива для каждой предоставленной партии и вида топлива (паспорт топлива), либо осуществляется анализ низшей теплоты сгорания твердого и жидкого топлива в собственной аттестованной производственной лаборатории, либо в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 При проведении анализов в лаборатории, частота и периодичность исследований устанавливаются субъектом квотирования самостоятельно и фиксируется в Плане мониторинга. При отсутствии данных показатель принимается согласно таблице 1 приложения к настоящей Методике, ТДж/тонн топлива;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</w:t>
      </w:r>
      <w:r>
        <w:rPr>
          <w:rFonts w:ascii="Times New Roman"/>
          <w:b w:val="false"/>
          <w:i w:val="false"/>
          <w:color w:val="000000"/>
          <w:vertAlign w:val="subscript"/>
        </w:rPr>
        <w:t>топл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окисления топлива, рассчитываемый в соответствии с пунктом 10 либо пунктом 11 настоящей Методики при наличии имеющихся данных. При отсутствии данных, показатель принимается равным 1.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825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при сжигании твердого и жидкого (для субъектов администрирования твердого, жидкого и газообразного) топлива, согласно таблицам 2, 3 приложения к настоящей Методике тонн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O/ТДж;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квотирования используют коэффициент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согласно таблице 3 Методики в зависимости от вида топлива и типа используемого оборудования.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администрирования используют коэффициент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согласно таблице 2 Методики в зависимости от вида топлива и типа используемого оборудования.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подходящих коэффициентов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 в таблицах 2,3 настоящей Методики, используются значения коэффициентов выбросов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O выбранные по принципу схожести агрегатного состояния и использования схожего типа оборудования и технологии сжигания.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054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потенциала глобального потепления для оксида азота,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эквивалент/тонн 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O. Показатель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Кодекса и публикуется на официальном интернет ресурсе оператора системы торговли углеродными единицами.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низшей теплотворной способности (Низшая Теплота Сгорания) по умолчанию (ТДж/тонн)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коэффициент выбросов 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умолчанию, (тонн/ТДж)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природный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керосина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Сланцевое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Газойль/Дизельное 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Топочный мазут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нефтепереработки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парафины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 и СОТК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Коксующийся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битуминозного угля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Полубитуминозный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Горючий сланец и битуминозные пески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Брикетированный бурый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Патентованное 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Печной и лигнитовый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Каменноугольный деготь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кислородных сталеплавильных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 (небиологические фракции)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биотопливо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Древесина/древесные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Щелок (Черный щелок)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типы твердых первичных биомасс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Био-дизтопливо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жидкого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из органических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биогазы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 ископаемое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 (фракция биомассы)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  <w:r>
        <w:br/>
      </w:r>
      <w:r>
        <w:rPr>
          <w:rFonts w:ascii="Times New Roman"/>
          <w:b/>
          <w:i w:val="false"/>
          <w:color w:val="000000"/>
        </w:rPr>
        <w:t>Коэффициенты выбросов из утилитарных источников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технология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Конфигурация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Коэффициенты1 выбросов (тонн/ТДж подводимой энергии)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виды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топочном мазуте/сланцевом масле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Танценциальное сжигание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газойле/ дизельном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Танценциальное сжигание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дизельные двигатели &gt;600л.с. (447кВт)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виды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Котлы, сжигающие распыленный битум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дно, пристенное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дно, тангенциальное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Мокрое 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 механической загрузкой и распределением битума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повторной загрузкой и без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Топка с битумным псевдоожиженным слоем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Циркулирующий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Битумная циклонная печь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Лигнитовая топка с псевдоожиженным слоем при атмосферном давлении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турбины &gt; 3 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двухтопливные двигатели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комбинр. цикла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Топка с псевдоожиженным слоем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Циркулирующий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древесине/древесных отходах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Утилизационные котлы на древесине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 - данные отсутствуют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указывает на новый коэффициент выбросов, который не был представлен в Руководящих указаниях МГЭИК1996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- указывает на коэффициент выбросов, который был пересмотрен после выхода Руководящих указаний МГЭИК 1996 г.</w:t>
            </w: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  <w:r>
        <w:br/>
      </w:r>
      <w:r>
        <w:rPr>
          <w:rFonts w:ascii="Times New Roman"/>
          <w:b/>
          <w:i w:val="false"/>
          <w:color w:val="000000"/>
        </w:rPr>
        <w:t>Коэффициенты выбросов из промышленных источников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технология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Конфигурация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выбросов (тонн/ТДж подводимой энергии)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виды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топочном мазуте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газойле/ дизельном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стационарные дизельные двигатели &gt;600л.с. (447кВт)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сжиженном нефтяном газе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виды топлива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битумные/полубитумные котлы с механической загрузкой сверху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битумные/полубитумные котлы с механической загрузкой снизу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битумные/полубитумные котлы на распыленном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дно, пристенное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дно, тангенциальное сжигание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Мокрое 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битумные котлы с мех. загрузкой и распределением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0,0007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битумные/полубитумные топки с псевдоожиженным слоем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Циркулирующий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Кипящий слой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Газовые турбины1 &gt; 3 МВт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Поршневые двигатели на природном газе2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2-тактные, обедненная 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4-тактные, обедненная 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4-тактные, обогащенная смесь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0,110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на древесине/древесных отходах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0,007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Коэффициент получен по установкам, работающим только на высоких нагрузках (80 %).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Большинство работающих на газе поршневых двигателей используется в газовой промышленности, в компрессорных установках трубопроводов и хранилищ, и на газоперерабатывающих заводах.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- данные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указывает на новый коэффициент выбросов, который не был представлен в Руководящих указаниях МГЭИК1996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- указывает на коэффициент выбросов, который был пересмотрен после выхода Руководящих указаний МГЭИК 1996 г.</w:t>
            </w:r>
          </w:p>
        </w:tc>
      </w:tr>
    </w:tbl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Показатель: Суммарные выбросы парниковых газов установки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субъекта квотирования в соответствии с настоящей Методикой.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добыча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суммарные годовые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эквивалент от процесса добычи, в году у,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ETOTAL – суммарные выбросы парниковых газов,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Egas,COMB,y – суммарные годовые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сжигания газообразных видов топлива в году у,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Eiq,COMB,y – суммарные годовые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сжигания жидких видов топлива, тонн СО2-эквивалент;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Eflare,y – суммарные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сжигания попутного нефтяного газа и другие виды газообразного топлива на факеле,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эквивалент;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333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суммарные годовые выбросы СН4 от утечек и аварийных сбросов на производственной площадке (месторождении) i для года y,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9271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суммарные годовые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горения топливного газа на дежурных горелках,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863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суммарные годовые выбросы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транспортировки нефти и газа,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850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суммарные годовые выбросы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продувке факельных коллекторов, технических остановках, запусках и других процессах,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единице измерения - тонна, округление производится до двух цифр после запятой.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оператор установки использует расчеты показателей согласно нижеприведенным пунктам настоящей Методики, исходя из применимости показателей относительно специфики процесса производства добычи нефти и газа.";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Выбросы от сжигания жидкого топлива на передвижных источниках, которые являются частью установки учитывать, как стационарные согласно пункту 15 настоящей Методики;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В случае отсутствия инструментальных замеров по утечкам на установке,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диапазона.";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В случае отсутствия инструментальных замеров при добыче нефти и газа на установке,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диапазона.";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В случае отсутствия инструментальных замеров от транспортировки газа и его хранения,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низшей теплотворной способности (Низшая Теплота Сгорания) по умолчанию (ТДж/тонн)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Эффективный коэффициент выбросов 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умолчанию, (тонн/ТДж)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природный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для реактивных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керосина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Сланцевое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Газойль/Дизельное 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Топочный мазут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нефтепереработки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парафины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Уайт-спирит и СОТК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Коксующийся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битуминозного угля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Полубитуминозный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Горючий сланец и битуминозные пески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Брикетированный бурый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Патентованное 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Печной и лигнитовый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Каменноугольный деготь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кислородных сталеплавильных печей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 (небиологические фракции)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применимо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биотопливо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Древесина/древесные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Щелок (Черный щелок)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типы твердых первичных биомасс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Древесный уголь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Биобензин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Био-дизтопливо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жидкого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из органических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Канализационный газ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биогазы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 ископаемое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 (фракция биомассы)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расчету выбросов парниковых газов от производства чугуна, стали, агломератов и окатышей (далее–Методика)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Экологического кодекса Республики Казахстан (далее – Кодекс) и предназначена для расчетов выбросов парниковых газов от производства чугуна, стали, агломератов и окатышей.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процессы от сжигания топлива на печах (высокотемпературная переработка сырья в печах, с целью протекания химических реакций и извлечение полезных компонентов), рассчитываются в соответствии с международными методиками по расчету выбросов парниковых газов.";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Самые большие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металлургической промышленности образуются при производстве чугуна. При учете углерода при потреблении топлива в секторе энергетики, углерод от потребления кокса или других восстановителей не учитывается. За исключением небольшого количества углерода, удерживаемого в передельном чугуне, весь углерод в коксе и флюсах выбрасывается в качестве продукта сгорания и кальцинирования.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Показатель: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производстве чугуна 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CO2, BF</w:t>
      </w:r>
      <w:r>
        <w:rPr>
          <w:rFonts w:ascii="Times New Roman"/>
          <w:b w:val="false"/>
          <w:i w:val="false"/>
          <w:color w:val="000000"/>
          <w:sz w:val="28"/>
        </w:rPr>
        <w:t>= [(ORE × C</w:t>
      </w:r>
      <w:r>
        <w:rPr>
          <w:rFonts w:ascii="Times New Roman"/>
          <w:b w:val="false"/>
          <w:i w:val="false"/>
          <w:color w:val="000000"/>
          <w:vertAlign w:val="subscript"/>
        </w:rPr>
        <w:t>ORE</w:t>
      </w:r>
      <w:r>
        <w:rPr>
          <w:rFonts w:ascii="Times New Roman"/>
          <w:b w:val="false"/>
          <w:i w:val="false"/>
          <w:color w:val="000000"/>
          <w:sz w:val="28"/>
        </w:rPr>
        <w:t>)+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(CAR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 xml:space="preserve"> × C</w:t>
      </w:r>
      <w:r>
        <w:rPr>
          <w:rFonts w:ascii="Times New Roman"/>
          <w:b w:val="false"/>
          <w:i w:val="false"/>
          <w:color w:val="000000"/>
          <w:vertAlign w:val="subscript"/>
        </w:rPr>
        <w:t>CAR,BF</w:t>
      </w:r>
      <w:r>
        <w:rPr>
          <w:rFonts w:ascii="Times New Roman"/>
          <w:b w:val="false"/>
          <w:i w:val="false"/>
          <w:color w:val="000000"/>
          <w:sz w:val="28"/>
        </w:rPr>
        <w:t xml:space="preserve">)+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(FL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>× C</w:t>
      </w:r>
      <w:r>
        <w:rPr>
          <w:rFonts w:ascii="Times New Roman"/>
          <w:b w:val="false"/>
          <w:i w:val="false"/>
          <w:color w:val="000000"/>
          <w:vertAlign w:val="subscript"/>
        </w:rPr>
        <w:t>FL,BF</w:t>
      </w:r>
      <w:r>
        <w:rPr>
          <w:rFonts w:ascii="Times New Roman"/>
          <w:b w:val="false"/>
          <w:i w:val="false"/>
          <w:color w:val="000000"/>
          <w:sz w:val="28"/>
        </w:rPr>
        <w:t xml:space="preserve">)+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(OT× C</w:t>
      </w:r>
      <w:r>
        <w:rPr>
          <w:rFonts w:ascii="Times New Roman"/>
          <w:b w:val="false"/>
          <w:i w:val="false"/>
          <w:color w:val="000000"/>
          <w:vertAlign w:val="subscript"/>
        </w:rPr>
        <w:t>OT</w:t>
      </w:r>
      <w:r>
        <w:rPr>
          <w:rFonts w:ascii="Times New Roman"/>
          <w:b w:val="false"/>
          <w:i w:val="false"/>
          <w:color w:val="000000"/>
          <w:sz w:val="28"/>
        </w:rPr>
        <w:t>) – (I</w:t>
      </w:r>
      <w:r>
        <w:rPr>
          <w:rFonts w:ascii="Times New Roman"/>
          <w:b w:val="false"/>
          <w:i w:val="false"/>
          <w:color w:val="000000"/>
          <w:vertAlign w:val="subscript"/>
        </w:rPr>
        <w:t>OUT</w:t>
      </w:r>
      <w:r>
        <w:rPr>
          <w:rFonts w:ascii="Times New Roman"/>
          <w:b w:val="false"/>
          <w:i w:val="false"/>
          <w:color w:val="000000"/>
          <w:sz w:val="28"/>
        </w:rPr>
        <w:t xml:space="preserve"> × C</w:t>
      </w:r>
      <w:r>
        <w:rPr>
          <w:rFonts w:ascii="Times New Roman"/>
          <w:b w:val="false"/>
          <w:i w:val="false"/>
          <w:color w:val="000000"/>
          <w:vertAlign w:val="subscript"/>
        </w:rPr>
        <w:t>I,out</w:t>
      </w:r>
      <w:r>
        <w:rPr>
          <w:rFonts w:ascii="Times New Roman"/>
          <w:b w:val="false"/>
          <w:i w:val="false"/>
          <w:color w:val="000000"/>
          <w:sz w:val="28"/>
        </w:rPr>
        <w:t>) – (NM× C</w:t>
      </w:r>
      <w:r>
        <w:rPr>
          <w:rFonts w:ascii="Times New Roman"/>
          <w:b w:val="false"/>
          <w:i w:val="false"/>
          <w:color w:val="000000"/>
          <w:vertAlign w:val="subscript"/>
        </w:rPr>
        <w:t>NM</w:t>
      </w:r>
      <w:r>
        <w:rPr>
          <w:rFonts w:ascii="Times New Roman"/>
          <w:b w:val="false"/>
          <w:i w:val="false"/>
          <w:color w:val="000000"/>
          <w:sz w:val="28"/>
        </w:rPr>
        <w:t xml:space="preserve"> ) - (BF</w:t>
      </w:r>
      <w:r>
        <w:rPr>
          <w:rFonts w:ascii="Times New Roman"/>
          <w:b w:val="false"/>
          <w:i w:val="false"/>
          <w:color w:val="000000"/>
          <w:vertAlign w:val="subscript"/>
        </w:rPr>
        <w:t>Gout</w:t>
      </w:r>
      <w:r>
        <w:rPr>
          <w:rFonts w:ascii="Times New Roman"/>
          <w:b w:val="false"/>
          <w:i w:val="false"/>
          <w:color w:val="000000"/>
          <w:sz w:val="28"/>
        </w:rPr>
        <w:t xml:space="preserve"> × C</w:t>
      </w:r>
      <w:r>
        <w:rPr>
          <w:rFonts w:ascii="Times New Roman"/>
          <w:b w:val="false"/>
          <w:i w:val="false"/>
          <w:color w:val="000000"/>
          <w:vertAlign w:val="subscript"/>
        </w:rPr>
        <w:t>BFG,out</w:t>
      </w:r>
      <w:r>
        <w:rPr>
          <w:rFonts w:ascii="Times New Roman"/>
          <w:b w:val="false"/>
          <w:i w:val="false"/>
          <w:color w:val="000000"/>
          <w:sz w:val="28"/>
        </w:rPr>
        <w:t>) – (R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 xml:space="preserve"> × C</w:t>
      </w:r>
      <w:r>
        <w:rPr>
          <w:rFonts w:ascii="Times New Roman"/>
          <w:b w:val="false"/>
          <w:i w:val="false"/>
          <w:color w:val="000000"/>
          <w:vertAlign w:val="subscript"/>
        </w:rPr>
        <w:t>R,BF</w:t>
      </w:r>
      <w:r>
        <w:rPr>
          <w:rFonts w:ascii="Times New Roman"/>
          <w:b w:val="false"/>
          <w:i w:val="false"/>
          <w:color w:val="000000"/>
          <w:sz w:val="28"/>
        </w:rPr>
        <w:t>)] × 44/12, (4),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CO2, 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производства чугуна,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ORE – количество поданной руды (руда, окатыши, агломерат), тонн;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ORE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руде, доли единиц. Показатель определяется по результатам лабораторных исследований собственной производственной или независимой лабораторией, аккредитованной в порядке, установленном законодательством Республики Казахстан об аккредитации в области оценки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 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(математический знак);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CAR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углеродосодержащих технологических материалов, тонн. Показатель поданных в доменную печь, определяется по результатам лабораторных исследований собственной производственной или независимой лабораторией, аккредитованной в порядке, установленном законодательством Республики Казахстан об аккредитации в области оценки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 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CAR,BF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углеродосодержащих технологических материалах, согласно таблице 1 приложения к настоящей Методике, доли единиц;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FL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>– количество флюсовых материалов, загружаемых в доменную печь, тонн;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FL,BF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во флюсовых материалах, согласно таблице 1 Приложения к настоящей Методике, доли единиц;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 – количество других материалов, загружаемых в печь, тонн;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OT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других материалах, доли единиц. Показатель определяется по результатам лабораторных исследований собственной производственной или независимой лабораторией, аккредитованной в порядке, установленном законодательством Республики Казахстан об аккредитации в области оценки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OUT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выплавленного чугуна, тонн;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I,out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произведенном чугуне, согласно таблице 1 Приложения к настоящей Методике, доли единиц;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 –количество произведенного неметаллического продукта, тонн;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NM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произведенном неметаллическом продукте, доли единиц;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BF</w:t>
      </w:r>
      <w:r>
        <w:rPr>
          <w:rFonts w:ascii="Times New Roman"/>
          <w:b w:val="false"/>
          <w:i w:val="false"/>
          <w:color w:val="000000"/>
          <w:vertAlign w:val="subscript"/>
        </w:rPr>
        <w:t>Gout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произведенного доменного газа и удаленного из рабочей зоны, тонн;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BFG,out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произведенном доменном газе, доли единиц. Показатель определяется по результатам лабораторных исследований собственной производственной или независимой лабораторией, аккредитованной в порядке, установленном законодательством Республики Казахстан об аккредитации в области оценки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пыли, улавливаемого газоочистными установками доменного цеха, тонн;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R,BF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углерода в пыли доменного цеха, доли единиц. Показатель определяется по результатам лабораторных исследований собственной производственной или независимой лабораторией, аккредитованной в порядке, установленном законодательством Республики Казахстан об аккредитации в области оценки соответствия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отсутствии указанных параметров от производства окатышей, оператор установки использует Методику по расчету выбросов парниковых газов от сжигания горючих газов.".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по расчету выбросов парниковых газов от производства цемента и извести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Экологического кодекса Республики Казахстан (далее – Кодекс) и предназначена для расчетов выбросов парниковых газов от производства цемента и извести.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процессы от сжигания топлива на печах (высокотемпературная переработка сырья в печах, с целью протекания химических реакций и извлечение полезных компонентов), рассчитываются в соответствии с международными методиками по расчету выбросов парниковых газов.";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наличия данных по количеству произведенного клинкера, операторы установок не осуществляют расчет количества произведенного клинкера.";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В случае наличия данных по количеству произведенного цемента, операторы установок не осуществляют расчет количества произведенного цемента.";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Вследствие наличия данных у операторов установок данных для расчета при обжиге известняка, следует использовать следующую формулу: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CO2,известьi</w:t>
      </w:r>
      <w:r>
        <w:rPr>
          <w:rFonts w:ascii="Times New Roman"/>
          <w:b w:val="false"/>
          <w:i w:val="false"/>
          <w:color w:val="000000"/>
          <w:sz w:val="28"/>
        </w:rPr>
        <w:t xml:space="preserve"> х М</w:t>
      </w:r>
      <w:r>
        <w:rPr>
          <w:rFonts w:ascii="Times New Roman"/>
          <w:b w:val="false"/>
          <w:i w:val="false"/>
          <w:color w:val="000000"/>
          <w:vertAlign w:val="subscript"/>
        </w:rPr>
        <w:t>извести i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ип,i</w:t>
      </w:r>
      <w:r>
        <w:rPr>
          <w:rFonts w:ascii="Times New Roman"/>
          <w:b w:val="false"/>
          <w:i w:val="false"/>
          <w:color w:val="000000"/>
          <w:sz w:val="28"/>
        </w:rPr>
        <w:t xml:space="preserve"> х k</w:t>
      </w:r>
      <w:r>
        <w:rPr>
          <w:rFonts w:ascii="Times New Roman"/>
          <w:b w:val="false"/>
          <w:i w:val="false"/>
          <w:color w:val="000000"/>
          <w:vertAlign w:val="subscript"/>
        </w:rPr>
        <w:t>гаш.извести,i</w:t>
      </w:r>
      <w:r>
        <w:rPr>
          <w:rFonts w:ascii="Times New Roman"/>
          <w:b w:val="false"/>
          <w:i w:val="false"/>
          <w:color w:val="000000"/>
          <w:sz w:val="28"/>
        </w:rPr>
        <w:t xml:space="preserve"> (19),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выбросы от производства извести, тонн СО2-эквивалента;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CO2,известь 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выбросов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извести типа "i", тоннСО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/тонну извести;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извести 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производство извести типа "i", тонны;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ип,i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 на известковую пыль (ИП) для извести типа "i", относительные единицы. Эта поправка может быть учтена аналогично поправке на цементную пыль (ЦП); 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гаш.извести,i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поправочный коэффициент на гашеную известь типа "i", относительные единицы;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"i" -любой тип извести, из перечисленных в таблице 5 Приложения к Методике.".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Производственные процессы от сжигания топлива на печах (высокотемпературная переработка сырья в печах, с целью протекания химических реакций и извлечение полезных компонентов), рассчитываются в соответствии с международными методиками по расчету выбросов парниковых газов.";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"10.Показатель: выбросы C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производства алюминия 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C2F6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CF4</w:t>
      </w:r>
      <w:r>
        <w:rPr>
          <w:rFonts w:ascii="Times New Roman"/>
          <w:b w:val="false"/>
          <w:i w:val="false"/>
          <w:color w:val="000000"/>
          <w:sz w:val="28"/>
        </w:rPr>
        <w:t xml:space="preserve"> × F </w:t>
      </w:r>
      <w:r>
        <w:rPr>
          <w:rFonts w:ascii="Times New Roman"/>
          <w:b w:val="false"/>
          <w:i w:val="false"/>
          <w:color w:val="000000"/>
          <w:vertAlign w:val="subscript"/>
        </w:rPr>
        <w:t>C2F6 / CF4</w:t>
      </w:r>
      <w:r>
        <w:rPr>
          <w:rFonts w:ascii="Times New Roman"/>
          <w:b w:val="false"/>
          <w:i w:val="false"/>
          <w:color w:val="000000"/>
          <w:sz w:val="28"/>
        </w:rPr>
        <w:t>) × GWP</w:t>
      </w:r>
      <w:r>
        <w:rPr>
          <w:rFonts w:ascii="Times New Roman"/>
          <w:b w:val="false"/>
          <w:i w:val="false"/>
          <w:color w:val="000000"/>
          <w:vertAlign w:val="subscript"/>
        </w:rPr>
        <w:t>C2F6</w:t>
      </w:r>
      <w:r>
        <w:rPr>
          <w:rFonts w:ascii="Times New Roman"/>
          <w:b w:val="false"/>
          <w:i w:val="false"/>
          <w:color w:val="000000"/>
          <w:sz w:val="28"/>
        </w:rPr>
        <w:t xml:space="preserve"> (5),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C2F6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выбросы C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производства алюминия, килограмм C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</w:t>
      </w:r>
      <w:r>
        <w:rPr>
          <w:rFonts w:ascii="Times New Roman"/>
          <w:b w:val="false"/>
          <w:i w:val="false"/>
          <w:color w:val="000000"/>
          <w:vertAlign w:val="subscript"/>
        </w:rPr>
        <w:t>C2F6 / CF4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весовое соотношение C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/CF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кг (данные из таблицы 4 Приложения к настоящей Методике);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GWP </w:t>
      </w:r>
      <w:r>
        <w:rPr>
          <w:rFonts w:ascii="Times New Roman"/>
          <w:b w:val="false"/>
          <w:i w:val="false"/>
          <w:color w:val="000000"/>
          <w:vertAlign w:val="subscript"/>
        </w:rPr>
        <w:t>C2F6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потенциал глобального потепления C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Кодекса.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единицей измерения является тонна, округление производится до двух цифр после запятой.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Неопределенность коэффициентов выбросов ПФУ составляет в пределах (±15 %).";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4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Угловые коэффициенты для CF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C2F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выбросов ПФУ по различным технологиям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Угловой коэффициент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b,c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кг/тонн, (килограмм 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тонн алюминия) / (минуты анодного эффекта/ ванно-сутки)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перенапряжения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b,c,d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[(кг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CF4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)/ (мB)]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соотношение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Неопределенность, (+/-)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Неопределенность, (+/-)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CF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Неопределенность, (+/-)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GWPB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SWPB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Центральное предварительное спекание (GWPB), боковое предварительное спекание (SWPB), вертикальный метод Стада Содеберга (VSS).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Источник: измерения, переданные в IAI, измерения финансируемые US EPA, измерения различных заводов.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каждом угловом коэффициенте напряжения заложено предположение о соотношении выбросов по разным технологиям: GWPB 98 %, SWPB 90 %, VSS 85 %, HSS 90 %. Эти проценты были предложены на основании измерений фракции ПФУ, измерений выхода по газу фтору и заключения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Указанные коэффициенты отражают измерения, проведенные на нескольких предприятиях, регистрирующих положительное перенапряжение, и на других предприятиях, регистрирующих алгебраическое перенапряжение. В настоящее время не установлено устойчивое соотношение между положительным и алгебраическим перенапряжением. Положительное перенапряжение должно давать лучшую корреляцию с выбросами ПФУ, чем алгебраическое перенапряжение. Коэффициенты перенапряжения не применяются к технологиям VSS и HSS.</w:t>
            </w:r>
          </w:p>
        </w:tc>
      </w:tr>
    </w:tbl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открытой добыче угля образуются выбросы парниковых газов при осуществлении следующих процессов - добыча угля, выбросы после добычи угля, выбросы при низкотемпературном окислении и эндогенных пожаров.";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Показатель: Выбросы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открытой или закрытой добыче угля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субъекта квотирования в соответствии с настоящей Методикой.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= М×В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× К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(1),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выбросы метана при открытой или закрытой добыче угля за отчетный период, тонна;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объем добытого угля при открытой или закрытой добыче угля за отчетный период, тонна;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метаноностность добываемого угля,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/тонна;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Метаноностность добываемого угля определяется по результатам собственной аттестованной производственной лаборатории или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преобразования для перевода объемных единиц измерения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в единицы массы (тонны или килограммы), равное 0,67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осуществляется путем учета плотности метана при стандартных условиях атмосферы и температуры в 20°С.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метаноностности добываемого угля операторы установок используют данные геологических пластов в соответствии с геологическим паспортом объекта или среднесуточные величины данных системы внутреннего мониторинга по содержанию метана в шахтах в пересчете на 1 тонну добытого угля.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измерений метаноносности при подземной и открытой добычи угля, операторы установок для всех технологических процессов при добыче угля и после добычи угля используют следующие средневзвешенные коэффициенты выбросов: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средневзвешенный коэффициент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подземной добычи угля 28,56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или 20,478 кг/т кг/т (добыча угля и после добычи);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средневзвешенный коэффициент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открытой добычи угля 1,225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или 0,878 кг/т (добыча угля и после добычи);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преобразования для перевода объемных единиц измерения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в единицы массы (тонны или килограммы), равное 0,717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осуществляется путем учета плотности метана при нормальных условиях атмосферы и температуры в 0°С.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всех технологических процессов при добыче угля и после добычи угля оператор установки использует следующие средневзвешенные коэффициенты выбросов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подземного угля - 3,927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или 7,679 кг/т (добыча угля и после добычи).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открытой добычи угля - 0,35м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 или 0,686 кг/т (добыча угля и после добычи).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преобразования для перевода объемных единиц измерения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в единицы массы (тонны или килограммы), равное 1,96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осуществляется путем учета плотности диоксида углерода при нормальных условиях атмосферы и температуры в 0°С.";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Улетучивание остатков парниковых газов от добытого угля, который находится на складе временного хранения или уже погружен для отправки потребителям является важным этапом в учете основных выбросов парниковых газов от открытой и закрытой разработки.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Показатель: Выбросы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открытой или закрытой добыче угля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субъекта квотирования в соответствии с настоящей Методикой.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СН4уг</w:t>
      </w:r>
      <w:r>
        <w:rPr>
          <w:rFonts w:ascii="Times New Roman"/>
          <w:b w:val="false"/>
          <w:i w:val="false"/>
          <w:color w:val="000000"/>
          <w:sz w:val="28"/>
        </w:rPr>
        <w:t xml:space="preserve"> = М× С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× К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>, (3)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СН4уг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выбросы метана после открытой или закрытой добыче угля за отчетный период, тонна;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объем добытого угля за отчетный период, тонна;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содержание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угле после открытой или закрытой добыче угля добычи угля,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/тонна применять только в том случае, если не применяется единый, средневзвешенный коэффициент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подземной или открытой добычи угля указанный в пункте 5.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СН4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преобразования для перевода объемных единиц измерения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в единицы массы (тонны или килограммы), равное 0,717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осуществляется путем учета плотности метана при нормальных условиях атмосферы и температуры в 0°С.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Показатель: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открытой или закрытой добыче угля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субъекта квотирования в соответствии с настоящей Методикой.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СО2уг</w:t>
      </w:r>
      <w:r>
        <w:rPr>
          <w:rFonts w:ascii="Times New Roman"/>
          <w:b w:val="false"/>
          <w:i w:val="false"/>
          <w:color w:val="000000"/>
          <w:sz w:val="28"/>
        </w:rPr>
        <w:t xml:space="preserve"> = М× С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× К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(4)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СО2уг.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открытой или закрытой добыче угля за отчетный период, тонны;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объем добытого угля за отчетный период, тонны;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содержание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добытом угле,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/тонна применять только в том случае, если не применяется единый, средневзвешенный коэффициент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подземной или открытой добычи угля указанный в пункте 6 настоящей Методики.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преобразования для перевода объемных единиц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в единицы массы (тонны или килограммы), равное 1,96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Преобразование осуществляется путем учета плотности диоксида углерода при нормальных условиях атмосферы и температуры в 0°С.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Расчет выбросов парниковых газов при добыче угля от эндогенных пожаров";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Показатель: Расчет выбросов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эндогенных пожаров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субъекта квотирования в соответствии с настоящей Методикой.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= 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* ТНЗ *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* 44/12 *10</w:t>
      </w:r>
      <w:r>
        <w:rPr>
          <w:rFonts w:ascii="Times New Roman"/>
          <w:b w:val="false"/>
          <w:i w:val="false"/>
          <w:color w:val="000000"/>
          <w:vertAlign w:val="superscript"/>
        </w:rPr>
        <w:t>-3</w:t>
      </w:r>
      <w:r>
        <w:rPr>
          <w:rFonts w:ascii="Times New Roman"/>
          <w:b w:val="false"/>
          <w:i w:val="false"/>
          <w:color w:val="000000"/>
          <w:sz w:val="28"/>
        </w:rPr>
        <w:t xml:space="preserve"> (6),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годовой выброс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эндогенных пожаров, тонн/год;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складируемой внутренней вскрыши, тонн/год;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сгорания внутренней вскрыши, не менее 1 % от общего заскладированного объема внутренней вскрыши в породном отвале.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значения 1 %, оператор установки рассчитывает коэффициент сгорания внутренней вскрыши по следующей формуле: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(S * Р* Н) / M (6.1),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сгорания внутренней вскрыши;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пожаров определяемая, согласно измерениям маркшейдерским измерениям за год,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плотность вскрыши согласно данным геологической службы, т/м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средняя глубина пожара, определяемая инструментально;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количество складируемой внутренней вскрыши, тонн/год.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окисления углерода в угле, равный 0,98.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ТНЗ - низшая теплотворная способность внутренней складируемой вскрыши, ТДж/ тонн.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низшей теплотворной способности внутренней вскрыши плотности предоставляются поставщиком топлива или по результатам собственной аттестованной производственной лаборатории или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выбросов углерода, кг/ТДж;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коэффициенту выбросов углерода предоставляются поставщиком топлива или по результатам собственной аттестованной производственной лаборатории или независимой лаборатории, аккредитованной в порядке, установленном законодательством Республики Казахстан об аккредитации в области оценки соответствия,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44/12 - коэффициент пересчета углерода в углекислый газ;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10-3- перевод кг в тонны.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вскрышной породы и эндогенных пожаров для субъектов администрирования рассчитываются в соответствии с пунктом 12 настоящей Методики.".</w:t>
      </w:r>
    </w:p>
    <w:bookmarkEnd w:id="237"/>
    <w:bookmarkStart w:name="z27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Производственные процессы от сжигания топлива на печах (высокотемпературная переработка сырья в печах, с целью протекания химических реакций и извлечение полезных компонентов), следует рассчитывать в соответствии с МГЭИК, так как в Методике расчетов выбросов парниковых газов от котлов тепловых электростанций, теплоэлектроцентралей и котельных, не предусмотрены расчеты от сжигания топлива в печах.";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Показатель: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производства аммиака;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января года следующего за отчетным периодом.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СО2,y</w:t>
      </w:r>
      <w:r>
        <w:rPr>
          <w:rFonts w:ascii="Times New Roman"/>
          <w:b w:val="false"/>
          <w:i w:val="false"/>
          <w:color w:val="000000"/>
          <w:sz w:val="28"/>
        </w:rPr>
        <w:t>=∑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=1 (RMC</w:t>
      </w:r>
      <w:r>
        <w:rPr>
          <w:rFonts w:ascii="Times New Roman"/>
          <w:b w:val="false"/>
          <w:i w:val="false"/>
          <w:color w:val="000000"/>
          <w:vertAlign w:val="subscript"/>
        </w:rPr>
        <w:t>j,y</w:t>
      </w:r>
      <w:r>
        <w:rPr>
          <w:rFonts w:ascii="Times New Roman"/>
          <w:b w:val="false"/>
          <w:i w:val="false"/>
          <w:color w:val="000000"/>
          <w:sz w:val="28"/>
        </w:rPr>
        <w:t>xEFCO</w:t>
      </w:r>
      <w:r>
        <w:rPr>
          <w:rFonts w:ascii="Times New Roman"/>
          <w:b w:val="false"/>
          <w:i w:val="false"/>
          <w:color w:val="000000"/>
          <w:vertAlign w:val="subscript"/>
        </w:rPr>
        <w:t>2 j,yx</w:t>
      </w:r>
      <w:r>
        <w:rPr>
          <w:rFonts w:ascii="Times New Roman"/>
          <w:b w:val="false"/>
          <w:i w:val="false"/>
          <w:color w:val="000000"/>
          <w:sz w:val="28"/>
        </w:rPr>
        <w:t>OF</w:t>
      </w:r>
      <w:r>
        <w:rPr>
          <w:rFonts w:ascii="Times New Roman"/>
          <w:b w:val="false"/>
          <w:i w:val="false"/>
          <w:color w:val="000000"/>
          <w:vertAlign w:val="subscript"/>
        </w:rPr>
        <w:t>j,y</w:t>
      </w:r>
      <w:r>
        <w:rPr>
          <w:rFonts w:ascii="Times New Roman"/>
          <w:b w:val="false"/>
          <w:i w:val="false"/>
          <w:color w:val="000000"/>
          <w:sz w:val="28"/>
        </w:rPr>
        <w:t>) - R</w:t>
      </w:r>
      <w:r>
        <w:rPr>
          <w:rFonts w:ascii="Times New Roman"/>
          <w:b w:val="false"/>
          <w:i w:val="false"/>
          <w:color w:val="000000"/>
          <w:vertAlign w:val="subscript"/>
        </w:rPr>
        <w:t>CO2</w:t>
      </w:r>
      <w:r>
        <w:rPr>
          <w:rFonts w:ascii="Times New Roman"/>
          <w:b w:val="false"/>
          <w:i w:val="false"/>
          <w:color w:val="000000"/>
          <w:sz w:val="28"/>
        </w:rPr>
        <w:t xml:space="preserve"> (1),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СО2,y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производства аммиака за период "у",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-эквивалент;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RMC</w:t>
      </w:r>
      <w:r>
        <w:rPr>
          <w:rFonts w:ascii="Times New Roman"/>
          <w:b w:val="false"/>
          <w:i w:val="false"/>
          <w:color w:val="000000"/>
          <w:vertAlign w:val="subscript"/>
        </w:rPr>
        <w:t>j,y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 углеродсодержащего сырья (топлива) "j" на производство аммиака за период "у",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т.у.т или ТДж;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углеродсодержащего сырья (топлива) и топлива, используемого на технологические и энергетические цели при производстве аммиака, принимаются по фактическим данным оператора установки за отчетный период.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EF</w:t>
      </w:r>
      <w:r>
        <w:rPr>
          <w:rFonts w:ascii="Times New Roman"/>
          <w:b w:val="false"/>
          <w:i w:val="false"/>
          <w:color w:val="000000"/>
          <w:vertAlign w:val="subscript"/>
        </w:rPr>
        <w:t>CO2j,y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выбросов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использования углеродсодержащего сырья (топлива) "j", тонн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/тонн. Показатель рассчитывается на основе фактических данных о компонентном составе газообразного топлива и содержании углерода в твердом и жидком топливе по формулам в соответствии с Методикой расчетов выбросов парниковых газов от котлов тепловых электростанций, теплоэлектроцентралей и котельных, разработанной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294 Кодекса.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фактических данных по компонентному химическому составу газообразного топлива и содержанию углерода в твердом и жидком топливе за отчетный период, используются значения коэффициентов выбросов для соответствующих видов топлива в соответствии с таблицей 1 Приложения к настоящей Методике.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</w:t>
      </w:r>
      <w:r>
        <w:rPr>
          <w:rFonts w:ascii="Times New Roman"/>
          <w:b w:val="false"/>
          <w:i w:val="false"/>
          <w:color w:val="000000"/>
          <w:vertAlign w:val="subscript"/>
        </w:rPr>
        <w:t>j,y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окисления углеродсодержащего сырья (топлива) "j" за период "у", доля, принимается для всех видов газообразного, жидкого и твердого углеродсодержащего сырья (топлива) по умолчанию равным 1,0 (соответствует 100% окислению).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CO2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масса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образовавшегося в процессе производства аммиака, извлеченного для дальнейшего использования в качестве сырья для получения товарной продукции, тонн;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вид углеродсодержащего сырья (топлива);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видов углеродсодержащего сырья (топлива), используемых за период "у".</w:t>
      </w:r>
    </w:p>
    <w:bookmarkEnd w:id="254"/>
    <w:bookmarkStart w:name="z29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единице измерения - тонна, округление производится до трех цифр после запятой.</w:t>
      </w:r>
    </w:p>
    <w:bookmarkEnd w:id="255"/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Казахстан.".</w:t>
      </w:r>
    </w:p>
    <w:bookmarkEnd w:id="256"/>
    <w:bookmarkStart w:name="z29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приказу: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Производственные процессы от сжигания топлива на печах (высокотемпературная переработка сырья в печах, с целью протекания химических реакций и извлечение полезных компонентов), рассчитываются в соответствии с международными методиками по расчету выбросов парниковых газов.";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основе данных о расходе карбонатного сырья, известняка и доломита, рассчитываются по следующей формуле:</w:t>
      </w:r>
    </w:p>
    <w:bookmarkEnd w:id="259"/>
    <w:bookmarkStart w:name="z30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Показатель: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использования карбонатов в производстве минеральных материалов:</w:t>
      </w:r>
    </w:p>
    <w:bookmarkEnd w:id="260"/>
    <w:bookmarkStart w:name="z30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периодичность и сроки формирования показателей: ежегодно, до 1 марта года следующего за отчетным периодом.</w:t>
      </w:r>
    </w:p>
    <w:bookmarkEnd w:id="261"/>
    <w:bookmarkStart w:name="z30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информации: исходные данные оператора установки в соответствии с настоящей Методикой</w:t>
      </w:r>
    </w:p>
    <w:bookmarkEnd w:id="262"/>
    <w:bookmarkStart w:name="z30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метода формирования (расчета) показателей:</w:t>
      </w:r>
    </w:p>
    <w:bookmarkEnd w:id="263"/>
    <w:bookmarkStart w:name="z30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>= ∑</w:t>
      </w:r>
      <w:r>
        <w:rPr>
          <w:rFonts w:ascii="Times New Roman"/>
          <w:b w:val="false"/>
          <w:i w:val="false"/>
          <w:color w:val="000000"/>
          <w:vertAlign w:val="super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i=1 (М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× ЕF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× F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(3),</w:t>
      </w:r>
    </w:p>
    <w:bookmarkEnd w:id="264"/>
    <w:bookmarkStart w:name="z30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5"/>
    <w:bookmarkStart w:name="z30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СО2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выбросы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использования карбонатов в производстве минеральных материалов, тонны</w:t>
      </w:r>
    </w:p>
    <w:bookmarkEnd w:id="266"/>
    <w:bookmarkStart w:name="z30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масса потребленного карбоната "i", тонны;</w:t>
      </w:r>
    </w:p>
    <w:bookmarkEnd w:id="267"/>
    <w:bookmarkStart w:name="z30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ЕF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выбросов для карбоната "i", тонны СО2/на тонну карбоната согласно таблице 2 приложения к Методике;</w:t>
      </w:r>
    </w:p>
    <w:bookmarkEnd w:id="268"/>
    <w:bookmarkStart w:name="z30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необходимых данных, коэффициент рассчитывается как стехиометрическое отношение молекулярной массы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молекулярной массе карбоната.</w:t>
      </w:r>
    </w:p>
    <w:bookmarkEnd w:id="269"/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степень кальцинирования, достигнутая для карбоната "i", дробь.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значения степени кальцинирования конкретного карбоната не известна, степень кальцинирования принимать равным 1,00;</w:t>
      </w:r>
    </w:p>
    <w:bookmarkEnd w:id="271"/>
    <w:bookmarkStart w:name="z3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"i" - используемый карбонат.</w:t>
      </w:r>
    </w:p>
    <w:bookmarkEnd w:id="272"/>
    <w:bookmarkStart w:name="z31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использованного карбоната "i", принимается оператором установки по фактическим данным за вычетом содержания влаги и примесей (при наличии соответствующих данных), полученным по результатам в собственной производственной или независимой лаборатории, аккредитованной в порядке, установленном законодательством Республики Казахстан в области технического регулирования и метрологии,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Кодекса.</w:t>
      </w:r>
    </w:p>
    <w:bookmarkEnd w:id="273"/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 размещения выходной информации: показатель не публикуется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Предпринимательского кодекса Республики Казахстан.".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2" w:id="28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3" w:id="2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4" w:id="28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