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9bcd" w14:textId="cfc9b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26 августа 2019 года № 315 "Об утверждении Правил возмещения потерь сельскохозяйственного производства с зачетом сумм, затрачиваемых на восстановление угодий"</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14 марта 2024 года № 97. Зарегистрирован в Министерстве юстиции Республики Казахстан 18 марта 2024 года № 34158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26 августа 2019 года № 315 "Об утверждении Правил возмещения потерь сельскохозяйственного производства с зачетом сумм, затрачиваемых на восстановление угодий" (зарегистрирован в Реестре государственной регистрации нормативных правовых актов № 19305)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106 Земельного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возмещения потерь сельскохозяйственного производства с зачетом сумм, затрачиваемых на восстановление угодий,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возмещения потерь сельскохозяйственного производства с зачетом сумм, затрачиваемых на восстановление угодий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106 Земельного кодекса Республики Казахстан (далее – Кодекс) и определяют порядок возмещения потерь сельскохозяйственного производства с зачетом сумм, затрачиваемых на восстановление угодий.</w:t>
      </w:r>
    </w:p>
    <w:bookmarkEnd w:id="4"/>
    <w:bookmarkStart w:name="z11" w:id="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5"/>
    <w:bookmarkStart w:name="z12" w:id="6"/>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6"/>
    <w:bookmarkStart w:name="z13" w:id="7"/>
    <w:p>
      <w:pPr>
        <w:spacing w:after="0"/>
        <w:ind w:left="0"/>
        <w:jc w:val="both"/>
      </w:pPr>
      <w:r>
        <w:rPr>
          <w:rFonts w:ascii="Times New Roman"/>
          <w:b w:val="false"/>
          <w:i w:val="false"/>
          <w:color w:val="000000"/>
          <w:sz w:val="28"/>
        </w:rPr>
        <w:t>
      2) земельная комиссия – коллегиальный орган при местном исполнительном органе области, города областного значения (на территории, переданной в его административное подчинение) и района для рассмотрения заявлений (заявок) и подготовки заключений о предоставлении прав на земельные участки (об определении победителя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 изменении целевого назначения земельных участков (за исключением земель населенных пунктов) и о переводе земель водного фонда в земли других категорий;</w:t>
      </w:r>
    </w:p>
    <w:bookmarkEnd w:id="7"/>
    <w:bookmarkStart w:name="z14" w:id="8"/>
    <w:p>
      <w:pPr>
        <w:spacing w:after="0"/>
        <w:ind w:left="0"/>
        <w:jc w:val="both"/>
      </w:pPr>
      <w:r>
        <w:rPr>
          <w:rFonts w:ascii="Times New Roman"/>
          <w:b w:val="false"/>
          <w:i w:val="false"/>
          <w:color w:val="000000"/>
          <w:sz w:val="28"/>
        </w:rPr>
        <w:t>
      3) землеустроительный проект – схема (план) земельного участка, сведения о площади земельного участка, его границы и местоположение, сведения о смежных собственниках и землепользователях земельных участков и об обременениях и сервитутах на земельные участки;</w:t>
      </w:r>
    </w:p>
    <w:bookmarkEnd w:id="8"/>
    <w:bookmarkStart w:name="z15" w:id="9"/>
    <w:p>
      <w:pPr>
        <w:spacing w:after="0"/>
        <w:ind w:left="0"/>
        <w:jc w:val="both"/>
      </w:pPr>
      <w:r>
        <w:rPr>
          <w:rFonts w:ascii="Times New Roman"/>
          <w:b w:val="false"/>
          <w:i w:val="false"/>
          <w:color w:val="000000"/>
          <w:sz w:val="28"/>
        </w:rPr>
        <w:t xml:space="preserve">
      4)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Кодексом</w:t>
      </w:r>
      <w:r>
        <w:rPr>
          <w:rFonts w:ascii="Times New Roman"/>
          <w:b w:val="false"/>
          <w:i w:val="false"/>
          <w:color w:val="000000"/>
          <w:sz w:val="28"/>
        </w:rPr>
        <w:t xml:space="preserve"> порядке за субъектами земельных отношений;</w:t>
      </w:r>
    </w:p>
    <w:bookmarkEnd w:id="9"/>
    <w:bookmarkStart w:name="z16" w:id="10"/>
    <w:p>
      <w:pPr>
        <w:spacing w:after="0"/>
        <w:ind w:left="0"/>
        <w:jc w:val="both"/>
      </w:pPr>
      <w:r>
        <w:rPr>
          <w:rFonts w:ascii="Times New Roman"/>
          <w:b w:val="false"/>
          <w:i w:val="false"/>
          <w:color w:val="000000"/>
          <w:sz w:val="28"/>
        </w:rPr>
        <w:t>
      5) малопродуктивные угодья – угодья, характеризующиеся отрицательными природными свойствами, низким плодородием, требующие большие затраты по их мелиоративному улучшению, а их хозяйственное использование по назначению является экономически неэффективным;</w:t>
      </w:r>
    </w:p>
    <w:bookmarkEnd w:id="10"/>
    <w:bookmarkStart w:name="z17" w:id="11"/>
    <w:p>
      <w:pPr>
        <w:spacing w:after="0"/>
        <w:ind w:left="0"/>
        <w:jc w:val="both"/>
      </w:pPr>
      <w:r>
        <w:rPr>
          <w:rFonts w:ascii="Times New Roman"/>
          <w:b w:val="false"/>
          <w:i w:val="false"/>
          <w:color w:val="000000"/>
          <w:sz w:val="28"/>
        </w:rPr>
        <w:t>
      6) непродуктивные угодья – угодья, характеризующиеся отрицательными природными свойствами, очень низким плодородием, требующие большие затраты по их мелиоративному улучшению, а их хозяйственное использование по назначению является экономически неэффективным;</w:t>
      </w:r>
    </w:p>
    <w:bookmarkEnd w:id="11"/>
    <w:bookmarkStart w:name="z18" w:id="12"/>
    <w:p>
      <w:pPr>
        <w:spacing w:after="0"/>
        <w:ind w:left="0"/>
        <w:jc w:val="both"/>
      </w:pPr>
      <w:r>
        <w:rPr>
          <w:rFonts w:ascii="Times New Roman"/>
          <w:b w:val="false"/>
          <w:i w:val="false"/>
          <w:color w:val="000000"/>
          <w:sz w:val="28"/>
        </w:rPr>
        <w:t>
      7) плодородный слой почвы – гумуссированная часть почвенного профиля с благоприятными для роста растений физическими, химическими и агрохимическими свойствами.";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"13. Рабочий орган в течение 30 (тридцати) календарных дней со дня поступления заявления подготавливает планово-картографические материалы, данные государственного земельного кадастра на основании сведений, представленных Государственной корпорацией, а также данные почвенных обследований, мониторинга земель на основании сведений, представленных республиканским государственным предприятием на праве хозяйственного ведения "Государственный институт проведения работ по обследованию земель" Комитета по управлению земельными ресурсами Министерства сельского хозяйства Республики Казахстан, для рассмотрения комиссией, созданной в соответствии с пунктом 10 настоящих Правил.";</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"17. При нанесении плодородного слоя почвы на малопродуктивные или непродуктивные угодья в землеустроительном проекте дополнительно устанавливаются:</w:t>
      </w:r>
    </w:p>
    <w:bookmarkEnd w:id="14"/>
    <w:bookmarkStart w:name="z23" w:id="15"/>
    <w:p>
      <w:pPr>
        <w:spacing w:after="0"/>
        <w:ind w:left="0"/>
        <w:jc w:val="both"/>
      </w:pPr>
      <w:r>
        <w:rPr>
          <w:rFonts w:ascii="Times New Roman"/>
          <w:b w:val="false"/>
          <w:i w:val="false"/>
          <w:color w:val="000000"/>
          <w:sz w:val="28"/>
        </w:rPr>
        <w:t>
      местонахождение, площадь и вид угодий земельного участка, на который предусматривается нанесение плодородного слоя почвы;</w:t>
      </w:r>
    </w:p>
    <w:bookmarkEnd w:id="15"/>
    <w:bookmarkStart w:name="z24" w:id="16"/>
    <w:p>
      <w:pPr>
        <w:spacing w:after="0"/>
        <w:ind w:left="0"/>
        <w:jc w:val="both"/>
      </w:pPr>
      <w:r>
        <w:rPr>
          <w:rFonts w:ascii="Times New Roman"/>
          <w:b w:val="false"/>
          <w:i w:val="false"/>
          <w:color w:val="000000"/>
          <w:sz w:val="28"/>
        </w:rPr>
        <w:t>
      объемы наносимого плодородного слоя почвы;</w:t>
      </w:r>
    </w:p>
    <w:bookmarkEnd w:id="16"/>
    <w:bookmarkStart w:name="z25" w:id="17"/>
    <w:p>
      <w:pPr>
        <w:spacing w:after="0"/>
        <w:ind w:left="0"/>
        <w:jc w:val="both"/>
      </w:pPr>
      <w:r>
        <w:rPr>
          <w:rFonts w:ascii="Times New Roman"/>
          <w:b w:val="false"/>
          <w:i w:val="false"/>
          <w:color w:val="000000"/>
          <w:sz w:val="28"/>
        </w:rPr>
        <w:t>
      сметная стоимость затрат на земляные и транспортные работы по снятию, транспортировке и переукладке плодородного слоя почвы.</w:t>
      </w:r>
    </w:p>
    <w:bookmarkEnd w:id="17"/>
    <w:bookmarkStart w:name="z26" w:id="18"/>
    <w:p>
      <w:pPr>
        <w:spacing w:after="0"/>
        <w:ind w:left="0"/>
        <w:jc w:val="both"/>
      </w:pPr>
      <w:r>
        <w:rPr>
          <w:rFonts w:ascii="Times New Roman"/>
          <w:b w:val="false"/>
          <w:i w:val="false"/>
          <w:color w:val="000000"/>
          <w:sz w:val="28"/>
        </w:rPr>
        <w:t xml:space="preserve">
      Разработка землеустроительного проекта осуществляется в соответствии с Правилами составления землеустроительного проекта по формированию земельных участков,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 июня 2022 года № 180 (зарегистрирован в Реестре государственной регистрации нормативных правовых актов под № 28399).".</w:t>
      </w:r>
    </w:p>
    <w:bookmarkEnd w:id="18"/>
    <w:bookmarkStart w:name="z27" w:id="19"/>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19"/>
    <w:bookmarkStart w:name="z28" w:id="2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
    <w:bookmarkStart w:name="z29" w:id="21"/>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w:t>
      </w:r>
    </w:p>
    <w:bookmarkEnd w:id="21"/>
    <w:bookmarkStart w:name="z30" w:id="2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22"/>
    <w:bookmarkStart w:name="z31" w:id="2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bookmarkStart w:name="z33"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4"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5"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6"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