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8b6a" w14:textId="0728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перечня и формы сведений, подлежащих передаче посредством интеграции аппаратно-программных комплексов организаторов игорного бизнеса, осуществляющих деятельность букмекерской конторы и (или) тотализатора, с информационными системами органов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марта 2024 года № 160. Зарегистрирован в Министерстве юстиции Республики Казахстан 20 марта 2024 года № 34167.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сведений посредством интеграции аппаратно-программных комплексов организаторов игорного бизнеса, осуществляющих деятельность букмекерской конторы и (или) тотализатора, с информационными системами органов государственных доходов;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сведений, подлежащих передаче посредством интеграции аппаратно-программных комплексов организаторов игорного бизнеса, осуществляющих деятельность букмекерской конторы и (или) тотализатора, с информационными системами органов государственных доходов (далее - Перечень);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форму сведений</w:t>
      </w:r>
      <w:r>
        <w:rPr>
          <w:rFonts w:ascii="Times New Roman"/>
          <w:b w:val="false"/>
          <w:i w:val="false"/>
          <w:color w:val="000000"/>
          <w:sz w:val="28"/>
        </w:rPr>
        <w:t>, подлежащих передаче посредством интеграции аппаратно-программных комплексов организаторов игорного бизнеса, осуществляющих деятельность букмекерской конторы и (или) тотализатора, с информационными системами органов государственных доходов (далее - Форма).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 № 160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сведений посредством интеграции аппаратно-программных комплексов организаторов игорного бизнеса, осуществляющих деятельность букмекерской конторы и (или) тотализатора, с информационными системами органов государственных доходов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сведений посредством интеграции аппаратно-программных комплексов организаторов игорного бизнеса, осуществляющих деятельность букмекерской конторы и (или) тотализатора, с информационными системами органов государственных доходов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"О налогах и других обязательных платежах в бюджет (Налоговый кодекс)" и определяют порядок передачи сведений посредством интеграции аппаратно-программных комплексов организаторов игорного бизнеса, осуществляющих деятельность букмекерской конторы и (или) тотализатора, с информационной системой органов государственных доходов (далее – ИС ОГД) в целях обеспечения автоматизированного взаимодействия по передаче сведений.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термины: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аппаратно-программный комплекс – совокупность программных и технических средств, обеспечивающих информационные процессы;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пари – основанное на риске соглашение, заключенное участниками между собой либо с организатором игорного бизнеса, на исход события, предполагающий выигрыш, в котором они не принимают участия;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 пари – физическое лицо, принимающее участие в пари;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организатор игорного бизнеса – юридическое лицо, осуществляющее организацию и проведение азартных игр и (или) пари в соответствии с требованиями, установленными законодательством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цифровое удостоверение интернет ресурса, которое служит подтверждением того, что обмен данными между сайтом и браузером производится по защищҰнному каналу – SSL сертификат;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eXtensible markup language (далее – XML) – расширяемый язык разметки, используемый для хранения и передачи данных в структурированном и машиночитаемом формате;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hypertext transfer protocol secure (далее – HTTPS) – протокол передачи гипертекста;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simple object access protocol (далее – SOAP) – протокол, основанный на XML для передачи сообщений при интеграции информационных систем;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web Service definition language (далее – WSDL) – стандарт описания интерфейсов веб-сервисов.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том значении, в каком они используются в иных отраслях законодательства Республики Казахстан.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передачи сведений посредством интеграции аппаратно-программных комплексов организаторов игорного бизнеса, осуществляющих деятельность букмекерской конторы и (или) тотализатора, с информационными системами органов государственных доходов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Организатор игорного бизнеса в целях передачи сведений посредством интеграции аппаратно-программных комплексов с ИС ОГД обеспечивает: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сервера аппаратно-программного комплекса, находящегося по месту нахождения организатора игорного бизнеса на территории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интеграцию с ИС ОГД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информатизации", а также </w:t>
      </w:r>
      <w:r>
        <w:rPr>
          <w:rFonts w:ascii="Times New Roman"/>
          <w:b w:val="false"/>
          <w:i w:val="false"/>
          <w:color w:val="000000"/>
          <w:sz w:val="28"/>
        </w:rPr>
        <w:t>Едиными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безопасности, утвержденными постановлением Правительства Республики Казахстан от 20 декабря 2016 года № 832;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круглосуточную бесперебойную обработку и передачу сведений в автоматическом режиме на ежедневной основе в соответствии с Перечнем и Формой.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сведений по Перечню осуществляется с применением: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расширенного транспортного протокола HTTPS с применением регистрационных свидетельств SSL-сертификатов, выданных национальным удостоверяющим центром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взаимодействия SOAP;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языка описания WSDL;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подписываемого ЭЦП;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передаваемых данных XML для веб-методов и их параметров;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периодичности получения информации – не позднее 03:00 часов по времени города Астаны дня, следующего за днем: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денежных средств организатором игорного бизнеса от физического лица;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денежных средств физическим лицом от организатора игорного бизнеса.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отказоустойчивость работы и создание резервных данных при сбоях в режиме работы аппаратно-программного комплекса или его замены;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учета с нарастающим итогом данных;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письменное извещение органа государственных доходов при возникновении технического сбоя в течение 1 (одного) рабочего дня о невозможности передачи сведений по Перечню, с указанием причины;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сведений по Перечню, за период технического сбоя, указанного в подпункте 6) настоящего пункта, не позднее 3 (трех) суток со дня устранения причин сбоя аппаратно-программного комплекса;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хранение данных в течение не менее: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(трех) лет, начиная с 1 января года, следующего за годом заключения пари между участниками пари с организаторами игорного бизнеса – для субъектов микро-, малого и среднего предпринимательства;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(пяти) лет, начиная с 1 января года, следующего за годом заключения пари между участниками пари с организаторами игорного бизнеса – для субъектов крупного предпринимательства.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Органы государственных доходов: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сохранность и конфиденциальность полученных сведений согласно Перечню, за исключением случаев, установленных законодательством Республики Казахстан;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круглосуточную бесперебойную работу сервисов ИС ОГД;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невозможности принятия сведений по Перечню, письменно извещают организаторов игорного бизнеса, в течение 1 (одного) рабочего дня, с указанием причины.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 № 160</w:t>
            </w:r>
          </w:p>
        </w:tc>
      </w:tr>
    </w:tbl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сведений, подлежащих передаче посредством интеграции аппаратно-программных комплексов организаторов игорного бизнеса, осуществляющих деятельность букмекерской конторы и (или) тотализатора, с информационными системами органов государственных доходов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Индивидуальный идентификационный номер физического лица.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Дата и время получения денежных средств организатором игорного бизнеса, осуществляющего деятельность букмекерской конторы и (или) тотализатора от физического лица способами,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платежах и платежных системах" (далее – Закон).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Сумма денежных средств, полученных организатором игорного бизнеса, осуществляющего деятельность букмекерской конторы и (или) тотализатора от физического лица способами,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Дата и время получения денежных средств физическим лицом от организатора игорного бизнеса, осуществляющего деятельность букмекерской конторы и (или) тотализатора способами,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Сумма денежных средств, полученных физическим лицом от организатора игорного бизнеса, осуществляющего деятельность букмекерской конторы и (или) тотализатора способами,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7" w:id="5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 организатора игорного бизнеса,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осуществляющего деятельность букмекерской конторы и (или) тотализатора)</w:t>
      </w:r>
    </w:p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подлежащие передаче посредством интеграции аппаратно-программного комплекса букмекерской конторы и (или) тотализатора с информационной системой органов государственных доходов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время получения денежных средств организатором игорного бизнеса, осуществляющего деятельность букмекерской конторы и (или) тотализатора от физического лица способами,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платежах и платежных системах"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денежных средств, полученных организатором игорного бизнеса, осуществляющего деятельность букмекерской конторы и (или) тотализатора от физического лица способами,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платежах и платежных системах"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время получения денежных средств физическим лицом от организатора игорного бизнеса, осуществляющего деятельность букмекерской конторы и (или) тотализатора способами,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платежах и платежных системах"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денежных средств, полученных физическим лицом от организатора игорного бизнеса, осуществляющего деятельность букмекерской конторы и (или) тотализатора способами,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платежах и платежных системах"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