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a122" w14:textId="f6ba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марта 2024 года № 16. Зарегистрировано в Министерстве юстиции Республики Казахстан 3 апреля 2024 года № 34218</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"54. Под термином "один заемщик" следует понимать каждое физическое или юридическое лицо, к которому у банка имеются требования или возникают требования, указанные в пункте 57 Нормативов.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4"/>
    <w:bookmarkStart w:name="z9" w:id="5"/>
    <w:p>
      <w:pPr>
        <w:spacing w:after="0"/>
        <w:ind w:left="0"/>
        <w:jc w:val="both"/>
      </w:pPr>
      <w:r>
        <w:rPr>
          <w:rFonts w:ascii="Times New Roman"/>
          <w:b w:val="false"/>
          <w:i w:val="false"/>
          <w:color w:val="000000"/>
          <w:sz w:val="28"/>
        </w:rPr>
        <w:t>
      1) один из заемщиков является крупным участником (физическим или юридическим лицом, которое владеет прямо или косвенно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5"/>
    <w:bookmarkStart w:name="z10" w:id="6"/>
    <w:p>
      <w:pPr>
        <w:spacing w:after="0"/>
        <w:ind w:left="0"/>
        <w:jc w:val="both"/>
      </w:pPr>
      <w:r>
        <w:rPr>
          <w:rFonts w:ascii="Times New Roman"/>
          <w:b w:val="false"/>
          <w:i w:val="false"/>
          <w:color w:val="000000"/>
          <w:sz w:val="28"/>
        </w:rPr>
        <w:t>
      2)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bookmarkEnd w:id="6"/>
    <w:bookmarkStart w:name="z11" w:id="7"/>
    <w:p>
      <w:pPr>
        <w:spacing w:after="0"/>
        <w:ind w:left="0"/>
        <w:jc w:val="both"/>
      </w:pPr>
      <w:r>
        <w:rPr>
          <w:rFonts w:ascii="Times New Roman"/>
          <w:b w:val="false"/>
          <w:i w:val="false"/>
          <w:color w:val="000000"/>
          <w:sz w:val="28"/>
        </w:rPr>
        <w:t>
      3) крупный участник,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bookmarkEnd w:id="7"/>
    <w:bookmarkStart w:name="z12" w:id="8"/>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8"/>
    <w:bookmarkStart w:name="z13" w:id="9"/>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9"/>
    <w:bookmarkStart w:name="z14" w:id="10"/>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10"/>
    <w:bookmarkStart w:name="z15" w:id="11"/>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bookmarkEnd w:id="11"/>
    <w:bookmarkStart w:name="z16" w:id="12"/>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12"/>
    <w:bookmarkStart w:name="z17" w:id="13"/>
    <w:p>
      <w:pPr>
        <w:spacing w:after="0"/>
        <w:ind w:left="0"/>
        <w:jc w:val="both"/>
      </w:pPr>
      <w:r>
        <w:rPr>
          <w:rFonts w:ascii="Times New Roman"/>
          <w:b w:val="false"/>
          <w:i w:val="false"/>
          <w:color w:val="000000"/>
          <w:sz w:val="28"/>
        </w:rPr>
        <w:t>
      9)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3"/>
    <w:bookmarkStart w:name="z18" w:id="14"/>
    <w:p>
      <w:pPr>
        <w:spacing w:after="0"/>
        <w:ind w:left="0"/>
        <w:jc w:val="both"/>
      </w:pPr>
      <w:r>
        <w:rPr>
          <w:rFonts w:ascii="Times New Roman"/>
          <w:b w:val="false"/>
          <w:i w:val="false"/>
          <w:color w:val="000000"/>
          <w:sz w:val="28"/>
        </w:rPr>
        <w:t>
      10)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14"/>
    <w:bookmarkStart w:name="z19" w:id="15"/>
    <w:p>
      <w:pPr>
        <w:spacing w:after="0"/>
        <w:ind w:left="0"/>
        <w:jc w:val="both"/>
      </w:pPr>
      <w:r>
        <w:rPr>
          <w:rFonts w:ascii="Times New Roman"/>
          <w:b w:val="false"/>
          <w:i w:val="false"/>
          <w:color w:val="000000"/>
          <w:sz w:val="28"/>
        </w:rPr>
        <w:t>
      11) заемщики:</w:t>
      </w:r>
    </w:p>
    <w:bookmarkEnd w:id="15"/>
    <w:bookmarkStart w:name="z20" w:id="16"/>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bookmarkEnd w:id="16"/>
    <w:bookmarkStart w:name="z21" w:id="17"/>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либо;</w:t>
      </w:r>
    </w:p>
    <w:bookmarkEnd w:id="17"/>
    <w:bookmarkStart w:name="z22" w:id="18"/>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bookmarkEnd w:id="18"/>
    <w:bookmarkStart w:name="z23" w:id="19"/>
    <w:p>
      <w:pPr>
        <w:spacing w:after="0"/>
        <w:ind w:left="0"/>
        <w:jc w:val="both"/>
      </w:pPr>
      <w:r>
        <w:rPr>
          <w:rFonts w:ascii="Times New Roman"/>
          <w:b w:val="false"/>
          <w:i w:val="false"/>
          <w:color w:val="000000"/>
          <w:sz w:val="28"/>
        </w:rPr>
        <w:t>
      12) заемщики связаны между собой по другим основаниям, предусмотренным Законом о банках;</w:t>
      </w:r>
    </w:p>
    <w:bookmarkEnd w:id="19"/>
    <w:bookmarkStart w:name="z24" w:id="20"/>
    <w:p>
      <w:pPr>
        <w:spacing w:after="0"/>
        <w:ind w:left="0"/>
        <w:jc w:val="both"/>
      </w:pPr>
      <w:r>
        <w:rPr>
          <w:rFonts w:ascii="Times New Roman"/>
          <w:b w:val="false"/>
          <w:i w:val="false"/>
          <w:color w:val="000000"/>
          <w:sz w:val="28"/>
        </w:rPr>
        <w:t>
      13)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10), 11) и 12)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20"/>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End w:id="21"/>
    <w:bookmarkStart w:name="z26" w:id="22"/>
    <w:p>
      <w:pPr>
        <w:spacing w:after="0"/>
        <w:ind w:left="0"/>
        <w:jc w:val="both"/>
      </w:pPr>
      <w:r>
        <w:rPr>
          <w:rFonts w:ascii="Times New Roman"/>
          <w:b w:val="false"/>
          <w:i w:val="false"/>
          <w:color w:val="000000"/>
          <w:sz w:val="28"/>
        </w:rPr>
        <w:t>
      "57. Размер риска на одного заемщика, в том числе банка, рассчитывается как сумма требований в виде:</w:t>
      </w:r>
    </w:p>
    <w:bookmarkEnd w:id="22"/>
    <w:bookmarkStart w:name="z27" w:id="23"/>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11 Нормативов);</w:t>
      </w:r>
    </w:p>
    <w:bookmarkEnd w:id="23"/>
    <w:bookmarkStart w:name="z28" w:id="24"/>
    <w:p>
      <w:pPr>
        <w:spacing w:after="0"/>
        <w:ind w:left="0"/>
        <w:jc w:val="both"/>
      </w:pPr>
      <w:r>
        <w:rPr>
          <w:rFonts w:ascii="Times New Roman"/>
          <w:b w:val="false"/>
          <w:i w:val="false"/>
          <w:color w:val="000000"/>
          <w:sz w:val="28"/>
        </w:rPr>
        <w:t>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приложению 6 к Нормативам;</w:t>
      </w:r>
    </w:p>
    <w:bookmarkEnd w:id="24"/>
    <w:bookmarkStart w:name="z29" w:id="25"/>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25"/>
    <w:bookmarkStart w:name="z30" w:id="26"/>
    <w:p>
      <w:pPr>
        <w:spacing w:after="0"/>
        <w:ind w:left="0"/>
        <w:jc w:val="both"/>
      </w:pPr>
      <w:r>
        <w:rPr>
          <w:rFonts w:ascii="Times New Roman"/>
          <w:b w:val="false"/>
          <w:i w:val="false"/>
          <w:color w:val="000000"/>
          <w:sz w:val="28"/>
        </w:rPr>
        <w:t>
      4) позиций секьюритизации;</w:t>
      </w:r>
    </w:p>
    <w:bookmarkEnd w:id="26"/>
    <w:bookmarkStart w:name="z31" w:id="27"/>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27"/>
    <w:bookmarkStart w:name="z32" w:id="28"/>
    <w:p>
      <w:pPr>
        <w:spacing w:after="0"/>
        <w:ind w:left="0"/>
        <w:jc w:val="both"/>
      </w:pP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приложению 7 к Нормативам и определяемый сроком погашения указанных финансовых инструментов.</w:t>
      </w:r>
    </w:p>
    <w:bookmarkEnd w:id="28"/>
    <w:bookmarkStart w:name="z33" w:id="29"/>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29"/>
    <w:bookmarkStart w:name="z34" w:id="30"/>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30"/>
    <w:bookmarkStart w:name="z35" w:id="31"/>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31"/>
    <w:bookmarkStart w:name="z36" w:id="32"/>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32"/>
    <w:bookmarkStart w:name="z37" w:id="33"/>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33"/>
    <w:bookmarkStart w:name="z38" w:id="34"/>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34"/>
    <w:bookmarkStart w:name="z39" w:id="35"/>
    <w:p>
      <w:pPr>
        <w:spacing w:after="0"/>
        <w:ind w:left="0"/>
        <w:jc w:val="both"/>
      </w:pPr>
      <w:r>
        <w:rPr>
          <w:rFonts w:ascii="Times New Roman"/>
          <w:b w:val="false"/>
          <w:i w:val="false"/>
          <w:color w:val="000000"/>
          <w:sz w:val="28"/>
        </w:rPr>
        <w:t>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приложению 5 к Нормативам;</w:t>
      </w:r>
    </w:p>
    <w:bookmarkEnd w:id="35"/>
    <w:bookmarkStart w:name="z40" w:id="36"/>
    <w:p>
      <w:pPr>
        <w:spacing w:after="0"/>
        <w:ind w:left="0"/>
        <w:jc w:val="both"/>
      </w:pPr>
      <w:r>
        <w:rPr>
          <w:rFonts w:ascii="Times New Roman"/>
          <w:b w:val="false"/>
          <w:i w:val="false"/>
          <w:color w:val="000000"/>
          <w:sz w:val="28"/>
        </w:rPr>
        <w:t>
      7) требований по металлическим счетам;</w:t>
      </w:r>
    </w:p>
    <w:bookmarkEnd w:id="36"/>
    <w:bookmarkStart w:name="z41" w:id="37"/>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37"/>
    <w:bookmarkStart w:name="z42" w:id="38"/>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38"/>
    <w:bookmarkStart w:name="z43" w:id="39"/>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39"/>
    <w:bookmarkStart w:name="z44" w:id="40"/>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40"/>
    <w:bookmarkStart w:name="z45" w:id="41"/>
    <w:p>
      <w:pPr>
        <w:spacing w:after="0"/>
        <w:ind w:left="0"/>
        <w:jc w:val="both"/>
      </w:pPr>
      <w:r>
        <w:rPr>
          <w:rFonts w:ascii="Times New Roman"/>
          <w:b w:val="false"/>
          <w:i w:val="false"/>
          <w:color w:val="000000"/>
          <w:sz w:val="28"/>
        </w:rPr>
        <w:t>
      аффинированных драгоценных металлов;</w:t>
      </w:r>
    </w:p>
    <w:bookmarkEnd w:id="41"/>
    <w:bookmarkStart w:name="z46" w:id="42"/>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42"/>
    <w:bookmarkStart w:name="z47" w:id="43"/>
    <w:p>
      <w:pPr>
        <w:spacing w:after="0"/>
        <w:ind w:left="0"/>
        <w:jc w:val="both"/>
      </w:pPr>
      <w:r>
        <w:rPr>
          <w:rFonts w:ascii="Times New Roman"/>
          <w:b w:val="false"/>
          <w:i w:val="false"/>
          <w:color w:val="000000"/>
          <w:sz w:val="28"/>
        </w:rPr>
        <w:t>
      гарантий Правительства Республики Казахстан;</w:t>
      </w:r>
    </w:p>
    <w:bookmarkEnd w:id="43"/>
    <w:bookmarkStart w:name="z48" w:id="44"/>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44"/>
    <w:bookmarkStart w:name="z49" w:id="45"/>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45"/>
    <w:bookmarkStart w:name="z50" w:id="46"/>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46"/>
    <w:bookmarkStart w:name="z51" w:id="47"/>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47"/>
    <w:bookmarkStart w:name="z52" w:id="48"/>
    <w:p>
      <w:pPr>
        <w:spacing w:after="0"/>
        <w:ind w:left="0"/>
        <w:jc w:val="both"/>
      </w:pPr>
      <w:r>
        <w:rPr>
          <w:rFonts w:ascii="Times New Roman"/>
          <w:b w:val="false"/>
          <w:i w:val="false"/>
          <w:color w:val="000000"/>
          <w:sz w:val="28"/>
        </w:rPr>
        <w:t xml:space="preserve">
      договоров страхования, содержащих пункты о безусловном и безотзывном исполнении обязательств по страховой выплате, заключенных с Экспортно-кредитным агентством Казахстана, имеющим государственную гарантию по поддержке экспорта. </w:t>
      </w:r>
    </w:p>
    <w:bookmarkEnd w:id="48"/>
    <w:bookmarkStart w:name="z53" w:id="49"/>
    <w:p>
      <w:pPr>
        <w:spacing w:after="0"/>
        <w:ind w:left="0"/>
        <w:jc w:val="both"/>
      </w:pPr>
      <w:r>
        <w:rPr>
          <w:rFonts w:ascii="Times New Roman"/>
          <w:b w:val="false"/>
          <w:i w:val="false"/>
          <w:color w:val="000000"/>
          <w:sz w:val="28"/>
        </w:rPr>
        <w:t>
      В расчет риска на одного заемщика не включаются:</w:t>
      </w:r>
    </w:p>
    <w:bookmarkEnd w:id="49"/>
    <w:bookmarkStart w:name="z54" w:id="50"/>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50"/>
    <w:bookmarkStart w:name="z55" w:id="51"/>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51"/>
    <w:bookmarkStart w:name="z56" w:id="52"/>
    <w:p>
      <w:pPr>
        <w:spacing w:after="0"/>
        <w:ind w:left="0"/>
        <w:jc w:val="both"/>
      </w:pPr>
      <w:r>
        <w:rPr>
          <w:rFonts w:ascii="Times New Roman"/>
          <w:b w:val="false"/>
          <w:i w:val="false"/>
          <w:color w:val="000000"/>
          <w:sz w:val="28"/>
        </w:rPr>
        <w:t>
      требования банка к дочерней организации;</w:t>
      </w:r>
    </w:p>
    <w:bookmarkEnd w:id="52"/>
    <w:bookmarkStart w:name="z57" w:id="53"/>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53"/>
    <w:bookmarkStart w:name="z58" w:id="54"/>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54"/>
    <w:bookmarkStart w:name="z59"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End w:id="55"/>
    <w:bookmarkStart w:name="z60" w:id="56"/>
    <w:p>
      <w:pPr>
        <w:spacing w:after="0"/>
        <w:ind w:left="0"/>
        <w:jc w:val="both"/>
      </w:pPr>
      <w:r>
        <w:rPr>
          <w:rFonts w:ascii="Times New Roman"/>
          <w:b w:val="false"/>
          <w:i w:val="false"/>
          <w:color w:val="000000"/>
          <w:sz w:val="28"/>
        </w:rPr>
        <w:t>
      "88.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Экспортно-кредитным агентством Казахстана, имеющим государственную гарантию по поддержке экспорта,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 а также облигации международных финансовых организаций, выпущенные в тенге, а также в иностранной валюте (доллары США, ЕВРО), в проспекте выпуска которых предусмотрено условие обязательного направления привлеченных средств на кредитование резидентов Республики Казахстан для реализации проектов на территории Республики Казахстан, и торгуемые в торговой системе акционерного общества "Казахстанская фондовая биржа", а также на фондовой бирже в Международном финансовом центре "Астана".</w:t>
      </w:r>
    </w:p>
    <w:bookmarkEnd w:id="56"/>
    <w:bookmarkStart w:name="z61" w:id="57"/>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 а также остатков на корреспондентских счетах банков, акционерного общества "Казахстанская фондовая биржа", акционерного общества "Клиринговый центр KASE", акционерного общества "Центральный депозитарий ценных бумаг" в иностранной валюте.</w:t>
      </w:r>
    </w:p>
    <w:bookmarkEnd w:id="57"/>
    <w:bookmarkStart w:name="z62" w:id="58"/>
    <w:p>
      <w:pPr>
        <w:spacing w:after="0"/>
        <w:ind w:left="0"/>
        <w:jc w:val="both"/>
      </w:pPr>
      <w:r>
        <w:rPr>
          <w:rFonts w:ascii="Times New Roman"/>
          <w:b w:val="false"/>
          <w:i w:val="false"/>
          <w:color w:val="000000"/>
          <w:sz w:val="28"/>
        </w:rPr>
        <w:t>
      Для целей расчета коэффициента по размещению части средств банков во внутренние активы согласно пунктам 86 и 87 Нормативов используется наименьшее значение из нижеследующих:</w:t>
      </w:r>
    </w:p>
    <w:bookmarkEnd w:id="58"/>
    <w:bookmarkStart w:name="z63" w:id="59"/>
    <w:p>
      <w:pPr>
        <w:spacing w:after="0"/>
        <w:ind w:left="0"/>
        <w:jc w:val="both"/>
      </w:pPr>
      <w:r>
        <w:rPr>
          <w:rFonts w:ascii="Times New Roman"/>
          <w:b w:val="false"/>
          <w:i w:val="false"/>
          <w:color w:val="000000"/>
          <w:sz w:val="28"/>
        </w:rPr>
        <w:t>
      уставного капитала либо;</w:t>
      </w:r>
    </w:p>
    <w:bookmarkEnd w:id="59"/>
    <w:bookmarkStart w:name="z64" w:id="60"/>
    <w:p>
      <w:pPr>
        <w:spacing w:after="0"/>
        <w:ind w:left="0"/>
        <w:jc w:val="both"/>
      </w:pPr>
      <w:r>
        <w:rPr>
          <w:rFonts w:ascii="Times New Roman"/>
          <w:b w:val="false"/>
          <w:i w:val="false"/>
          <w:color w:val="000000"/>
          <w:sz w:val="28"/>
        </w:rPr>
        <w:t>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bookmarkEnd w:id="60"/>
    <w:bookmarkStart w:name="z65" w:id="61"/>
    <w:p>
      <w:pPr>
        <w:spacing w:after="0"/>
        <w:ind w:left="0"/>
        <w:jc w:val="both"/>
      </w:pPr>
      <w:r>
        <w:rPr>
          <w:rFonts w:ascii="Times New Roman"/>
          <w:b w:val="false"/>
          <w:i w:val="false"/>
          <w:color w:val="000000"/>
          <w:sz w:val="28"/>
        </w:rPr>
        <w:t>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61"/>
    <w:bookmarkStart w:name="z66" w:id="62"/>
    <w:p>
      <w:pPr>
        <w:spacing w:after="0"/>
        <w:ind w:left="0"/>
        <w:jc w:val="both"/>
      </w:pPr>
      <w:r>
        <w:rPr>
          <w:rFonts w:ascii="Times New Roman"/>
          <w:b w:val="false"/>
          <w:i w:val="false"/>
          <w:color w:val="000000"/>
          <w:sz w:val="28"/>
        </w:rPr>
        <w:t>
      оттоком денежных средств клиентов;</w:t>
      </w:r>
    </w:p>
    <w:bookmarkEnd w:id="62"/>
    <w:bookmarkStart w:name="z67" w:id="63"/>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63"/>
    <w:bookmarkStart w:name="z68" w:id="64"/>
    <w:p>
      <w:pPr>
        <w:spacing w:after="0"/>
        <w:ind w:left="0"/>
        <w:jc w:val="both"/>
      </w:pPr>
      <w:r>
        <w:rPr>
          <w:rFonts w:ascii="Times New Roman"/>
          <w:b w:val="false"/>
          <w:i w:val="false"/>
          <w:color w:val="000000"/>
          <w:sz w:val="28"/>
        </w:rPr>
        <w:t>
      изменением валютной структуры обязательств банка.</w:t>
      </w:r>
    </w:p>
    <w:bookmarkEnd w:id="64"/>
    <w:bookmarkStart w:name="z69" w:id="65"/>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(девяти) месяцев со дня выявления указанного снижения.</w:t>
      </w:r>
    </w:p>
    <w:bookmarkEnd w:id="65"/>
    <w:bookmarkStart w:name="z70" w:id="66"/>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bookmarkEnd w:id="66"/>
    <w:bookmarkStart w:name="z71" w:id="67"/>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w:t>
      </w:r>
    </w:p>
    <w:bookmarkEnd w:id="67"/>
    <w:bookmarkStart w:name="z72"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68"/>
    <w:bookmarkStart w:name="z73" w:id="69"/>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69"/>
    <w:bookmarkStart w:name="z74" w:id="7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70"/>
    <w:bookmarkStart w:name="z75" w:id="71"/>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71"/>
    <w:bookmarkStart w:name="z76" w:id="7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72"/>
    <w:bookmarkStart w:name="z77" w:id="7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3"/>
    <w:bookmarkStart w:name="z78" w:id="7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регулированию и развитию</w:t>
            </w: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планированию </w:t>
      </w:r>
    </w:p>
    <w:p>
      <w:pPr>
        <w:spacing w:after="0"/>
        <w:ind w:left="0"/>
        <w:jc w:val="both"/>
      </w:pPr>
      <w:r>
        <w:rPr>
          <w:rFonts w:ascii="Times New Roman"/>
          <w:b w:val="false"/>
          <w:i w:val="false"/>
          <w:color w:val="000000"/>
          <w:sz w:val="28"/>
        </w:rPr>
        <w:t>и реформам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29 марта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83" w:id="75"/>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с 1 января 2022 года по 31 декабря 2023 года – 50</w:t>
            </w:r>
          </w:p>
          <w:bookmarkEnd w:id="77"/>
          <w:p>
            <w:pPr>
              <w:spacing w:after="20"/>
              <w:ind w:left="20"/>
              <w:jc w:val="both"/>
            </w:pPr>
            <w:r>
              <w:rPr>
                <w:rFonts w:ascii="Times New Roman"/>
                <w:b w:val="false"/>
                <w:i w:val="false"/>
                <w:color w:val="000000"/>
                <w:sz w:val="20"/>
              </w:rPr>
              <w:t>
с 1 января 2024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2022 года по 31 декабря 2023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1"/>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2"/>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3"/>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Пояснения</w:t>
      </w:r>
      <w:r>
        <w:br/>
      </w:r>
      <w:r>
        <w:rPr>
          <w:rFonts w:ascii="Times New Roman"/>
          <w:b/>
          <w:i w:val="false"/>
          <w:color w:val="000000"/>
        </w:rPr>
        <w:t>к расчету активов банка, подлежащих взвешиванию по степени кредитного риска вложений</w:t>
      </w:r>
    </w:p>
    <w:bookmarkStart w:name="z312" w:id="84"/>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84"/>
    <w:bookmarkStart w:name="z313" w:id="85"/>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85"/>
    <w:bookmarkStart w:name="z314" w:id="86"/>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86"/>
    <w:bookmarkStart w:name="z315" w:id="87"/>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87"/>
    <w:bookmarkStart w:name="z316" w:id="88"/>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88"/>
    <w:bookmarkStart w:name="z317" w:id="89"/>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89"/>
    <w:bookmarkStart w:name="z318" w:id="90"/>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90"/>
    <w:bookmarkStart w:name="z319" w:id="91"/>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91"/>
    <w:bookmarkStart w:name="z320" w:id="92"/>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92"/>
    <w:bookmarkStart w:name="z321" w:id="93"/>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93"/>
    <w:bookmarkStart w:name="z322" w:id="94"/>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94"/>
    <w:bookmarkStart w:name="z323" w:id="9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95"/>
    <w:bookmarkStart w:name="z324" w:id="9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96"/>
    <w:bookmarkStart w:name="z325" w:id="97"/>
    <w:p>
      <w:pPr>
        <w:spacing w:after="0"/>
        <w:ind w:left="0"/>
        <w:jc w:val="both"/>
      </w:pPr>
      <w:r>
        <w:rPr>
          <w:rFonts w:ascii="Times New Roman"/>
          <w:b w:val="false"/>
          <w:i w:val="false"/>
          <w:color w:val="000000"/>
          <w:sz w:val="28"/>
        </w:rPr>
        <w:t>
      3) являющимся гражданами офшорных зон;</w:t>
      </w:r>
    </w:p>
    <w:bookmarkEnd w:id="97"/>
    <w:bookmarkStart w:name="z326" w:id="98"/>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98"/>
    <w:bookmarkStart w:name="z327" w:id="99"/>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99"/>
    <w:bookmarkStart w:name="z328" w:id="100"/>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00"/>
    <w:bookmarkStart w:name="z329" w:id="101"/>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01"/>
    <w:bookmarkStart w:name="z330" w:id="102"/>
    <w:p>
      <w:pPr>
        <w:spacing w:after="0"/>
        <w:ind w:left="0"/>
        <w:jc w:val="both"/>
      </w:pPr>
      <w:r>
        <w:rPr>
          <w:rFonts w:ascii="Times New Roman"/>
          <w:b w:val="false"/>
          <w:i w:val="false"/>
          <w:color w:val="000000"/>
          <w:sz w:val="28"/>
        </w:rPr>
        <w:t>
      взвешиваются по нулевой степени риска.</w:t>
      </w:r>
    </w:p>
    <w:bookmarkEnd w:id="102"/>
    <w:bookmarkStart w:name="z331" w:id="103"/>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103"/>
    <w:bookmarkStart w:name="z332" w:id="104"/>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104"/>
    <w:bookmarkStart w:name="z333" w:id="105"/>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105"/>
    <w:bookmarkStart w:name="z334" w:id="106"/>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06"/>
    <w:bookmarkStart w:name="z335" w:id="107"/>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107"/>
    <w:bookmarkStart w:name="z336" w:id="108"/>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108"/>
    <w:bookmarkStart w:name="z337" w:id="109"/>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109"/>
    <w:bookmarkStart w:name="z338" w:id="110"/>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110"/>
    <w:bookmarkStart w:name="z339" w:id="111"/>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