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3593" w14:textId="5c63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и в приказ Министра национальной экономики Республики Казахстан от 5 января 2021 года № 2 "Об утверждении типовых форм технических условий на подключение к инженерным сетям"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22 апреля 2024 года № 16. Зарегистрирован в Министерстве юстиции Республики Казахстан 22 апреля 2024 года № 34284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"202. Заявление на выдачу технических условий на подключение к сетям субъекта естественной монополии или увеличение объема регулируемой услуги, за исключением пункта 206 настоящих Правил, рассматривается: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 несложных объектов – в течение пяти рабочих дней;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технически сложных объектов – в течение десяти рабочих дней.";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соответствии выполненных работ техническим условиям, подключение к регулируемой услуге субъекта естественной монополии осуществляется в течение трех рабочих дней.";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"306. Протокол и материалы публичного слушания формируются в дела и хранятся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за № 33339).";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января 2021 года № 2 "Об утверждении типовых форм технических условий на подключение к инженерным сетям" (зарегистрирован в Реестре государственной регистрации нормативных правовых актов за № 22036) следующие изменения: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 на подключение к инженерным сетям,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 на подключение к сетям в сфере водоснабжения и (или) водоотведения, утвержденной указанным приказом: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"использование воды питьевого качества на полив зеленых насаждений,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9-3)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Казахстан";".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технических условий на подключение к сетям газоснабжения</w:t>
      </w:r>
    </w:p>
    <w:bookmarkEnd w:id="22"/>
    <w:p>
      <w:pPr>
        <w:spacing w:after="0"/>
        <w:ind w:left="0"/>
        <w:jc w:val="both"/>
      </w:pPr>
      <w:bookmarkStart w:name="z35" w:id="23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объекта: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(жилой дом, кафе, магазин, и прочее)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объекта подключения к услуге ___________________________.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отапливаемая площадь: _________________________________.</w:t>
      </w:r>
    </w:p>
    <w:bookmarkEnd w:id="25"/>
    <w:p>
      <w:pPr>
        <w:spacing w:after="0"/>
        <w:ind w:left="0"/>
        <w:jc w:val="both"/>
      </w:pPr>
      <w:bookmarkStart w:name="z38" w:id="26"/>
      <w:r>
        <w:rPr>
          <w:rFonts w:ascii="Times New Roman"/>
          <w:b w:val="false"/>
          <w:i w:val="false"/>
          <w:color w:val="000000"/>
          <w:sz w:val="28"/>
        </w:rPr>
        <w:t>
      4. Для использования следующего газопотребляющего оборудования: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отопительный котел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(штука) (марка/ модель/ производитель/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требуемая мощность газопотребления)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газовая плита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(штука) (марка/ модель/ производитель/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требуемая мощность газопотребления)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проточный водонагреватель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(штука) (марка/ модель/ производитель/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требуемая мощность газопотребления)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прочее_______________________________________________________.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предполагаемым расходом максимального часового потребления газа ____.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Прилагаю: ___________________________________________________.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технических условий на подключение к сетям газоснабжения</w:t>
      </w:r>
    </w:p>
    <w:bookmarkEnd w:id="29"/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номер_________ от _______ года.</w:t>
      </w:r>
    </w:p>
    <w:bookmarkEnd w:id="30"/>
    <w:p>
      <w:pPr>
        <w:spacing w:after="0"/>
        <w:ind w:left="0"/>
        <w:jc w:val="both"/>
      </w:pPr>
      <w:bookmarkStart w:name="z47" w:id="31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объекта: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(жилой дом, кафе, магазин, и прочее)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отапливаемая площадь: ___________________________________.</w:t>
      </w:r>
    </w:p>
    <w:bookmarkEnd w:id="32"/>
    <w:p>
      <w:pPr>
        <w:spacing w:after="0"/>
        <w:ind w:left="0"/>
        <w:jc w:val="both"/>
      </w:pPr>
      <w:bookmarkStart w:name="z49" w:id="33"/>
      <w:r>
        <w:rPr>
          <w:rFonts w:ascii="Times New Roman"/>
          <w:b w:val="false"/>
          <w:i w:val="false"/>
          <w:color w:val="000000"/>
          <w:sz w:val="28"/>
        </w:rPr>
        <w:t>
      3. Адрес объекта подключения к услуге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50" w:id="34"/>
      <w:r>
        <w:rPr>
          <w:rFonts w:ascii="Times New Roman"/>
          <w:b w:val="false"/>
          <w:i w:val="false"/>
          <w:color w:val="000000"/>
          <w:sz w:val="28"/>
        </w:rPr>
        <w:t>
      4. Основание для выдачи технических условий (отметить нужное):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проектирование и последующее строительство новых объектов, присоединяемых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системам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увеличение объемов потребляемых услуг из действующей системы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реконструкция объекта, если это приведет к изменению объемов и характеристик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потребляемых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перепрофилирование объекта.</w:t>
      </w:r>
    </w:p>
    <w:p>
      <w:pPr>
        <w:spacing w:after="0"/>
        <w:ind w:left="0"/>
        <w:jc w:val="both"/>
      </w:pPr>
      <w:bookmarkStart w:name="z51" w:id="35"/>
      <w:r>
        <w:rPr>
          <w:rFonts w:ascii="Times New Roman"/>
          <w:b w:val="false"/>
          <w:i w:val="false"/>
          <w:color w:val="000000"/>
          <w:sz w:val="28"/>
        </w:rPr>
        <w:t>
      5. Основные характеристики оборудования: установка газового оборудования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Предполагаемый расход максимального часового потребления газа - __ метр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/час.</w:t>
      </w:r>
    </w:p>
    <w:bookmarkEnd w:id="36"/>
    <w:p>
      <w:pPr>
        <w:spacing w:after="0"/>
        <w:ind w:left="0"/>
        <w:jc w:val="both"/>
      </w:pPr>
      <w:bookmarkStart w:name="z53" w:id="37"/>
      <w:r>
        <w:rPr>
          <w:rFonts w:ascii="Times New Roman"/>
          <w:b w:val="false"/>
          <w:i w:val="false"/>
          <w:color w:val="000000"/>
          <w:sz w:val="28"/>
        </w:rPr>
        <w:t>
      7. Точка подключения: характеристики газопровода (тип прокладки,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диаметр в миллиметрах, давление в Мегапаскаль (далее – МПа)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8. Теплота сгорания газа _________, не менее 7600 килокалорий/метр3 согласно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ГОСТ 5542-2022 "Газы горючие природные промышленного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коммунально-бытового назначения. Технические условия",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 Председателя Комитета технического регулирования и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торговли и интеграции Республики Казахстан от 19 декабря 2022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 420-НҚ.</w:t>
      </w:r>
    </w:p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9. Выполнение проекта газоснабжения и монтажных работ осуществляется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 строительными нормами и Требованиями по безопасности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 газоснабжения,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октября 2017 года № 673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ноября 2017 года под № 15986) (далее – Требования по безопасности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 газоснабжения) организациями, имеющими лицензию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соответствующих видов деятельности.</w:t>
      </w:r>
    </w:p>
    <w:p>
      <w:pPr>
        <w:spacing w:after="0"/>
        <w:ind w:left="0"/>
        <w:jc w:val="both"/>
      </w:pPr>
      <w:bookmarkStart w:name="z56" w:id="40"/>
      <w:r>
        <w:rPr>
          <w:rFonts w:ascii="Times New Roman"/>
          <w:b w:val="false"/>
          <w:i w:val="false"/>
          <w:color w:val="000000"/>
          <w:sz w:val="28"/>
        </w:rPr>
        <w:t>
      10. Обоснование необходимости увеличения пропускной способности существующей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газораспределительной сети, или переноса сетей (для случаев альтернативных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источников подключения).</w:t>
      </w:r>
    </w:p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>
      11. Прокладка наружных газопроводов в соответствии с СН РК 4.03-01-2011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"Газораспределительные системы", утвержденными приказом Комитета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строительства, жилищно-коммунального хозяйства и управления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ресурсами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29 декабря 2014 года № 156-НҚ, МСН 4.03-01-2003 "Газораспределительные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системы", утвержденными приказом Комитета по делам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индустрии и торговли Республики Казахстан от 22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461 и Требованиями по безопасности объектов систем газоснабжения.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12. Установка регуляторов давления (при отсутствии технической возможности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подключения от газопроводов низкого давления до 0,005 МПа).</w:t>
      </w:r>
    </w:p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13. Применение отключающих устройств на наружных газопроводах осуществляется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Требованиям по безопасности объектов систем газоснабжения.</w:t>
      </w:r>
    </w:p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14. Меры электрохимической защиты от коррозии (покраска для надземных стальных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газопроводов, для подземных стальных газопроводов в соответствии с ГОСТ 9.602-2016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"Единая система защиты от коррозии и старения. Сооружения подземные. Общие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 к защите от коррозии", утвержденным приказом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 и метрологии Министерства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29 мая 2017 года № 145-од).</w:t>
      </w:r>
    </w:p>
    <w:p>
      <w:pPr>
        <w:spacing w:after="0"/>
        <w:ind w:left="0"/>
        <w:jc w:val="both"/>
      </w:pPr>
      <w:bookmarkStart w:name="z61" w:id="45"/>
      <w:r>
        <w:rPr>
          <w:rFonts w:ascii="Times New Roman"/>
          <w:b w:val="false"/>
          <w:i w:val="false"/>
          <w:color w:val="000000"/>
          <w:sz w:val="28"/>
        </w:rPr>
        <w:t>
      15. Для расчетов потребления услуг обеспечиваются необходимыми приборами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коммерческого учета, типы которых внесены в Реестр государственной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единства измерений, в порядке, установленном Правилами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реестра государственной системы обеспечения единства измерений,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декабря 2018 года № 929 (зарегистрирован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под № 18079), которые имеют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первичной или периодической поверке средств измерений.</w:t>
      </w:r>
    </w:p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16. Подключение объекта производится газораспределительной организацией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 выполнения требования настоящих технических условий в полном объеме.</w:t>
      </w:r>
    </w:p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выдаются на три года и представляются органами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архитектуры и градостроительства в государственный градостроительный кадастр.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превышения нормативной продолжительности строительства более трех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технических условий продлевается на период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условии представления подтверждающих документов о начале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непредставления подтверждающих документов о начале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технические условия по истечении трех лет с даты выдачи считаются недействительными.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