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fed8" w14:textId="a3af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26 апреля 2024 года № 174. Зарегистрирован в Министерстве юстиции Республики Казахстан 29 апреля 2024 года № 34316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118 "Об утверждении Правил определения тарифа на поддержку возобновляемых источников энергии" (зарегистрирован в Реестре государственной регистрации нормативных правовых актов за № 10622)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тарифа на поддержку возобновляемых источников энергии,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"11. Фактическое значение тарифа на поддержку возобновляемых источников энергии за соответствующий час суток расчетного периода (календарного месяца) определяется по следующей формуле:</w:t>
      </w:r>
    </w:p>
    <w:bookmarkEnd w:id="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581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581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4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 на поддержку возобновляемых источников энергии за соответствующий час суток расчетного периода (календарного месяца), в тенге/кВт*ч (округляется до десятитысячных);</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фактические затраты на поддержку использования возобновляемых источников энергии за соответствующий час суток, приходящиеся на субъектов оптового рынка электрической энергии (за исключением субъектов оптового рынка электрической энергии, осуществляющих деятельность по цифровому майнингу, субъектов оптового рынка электрической энергии, включенных в список дифференциации, а также субъектов оптового рынка электрической энергии, являющихся условными потребителями), в тенге без НДС (округляется до сотых);</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673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3100" cy="393700"/>
                    </a:xfrm>
                    <a:prstGeom prst="rect">
                      <a:avLst/>
                    </a:prstGeom>
                  </pic:spPr>
                </pic:pic>
              </a:graphicData>
            </a:graphic>
          </wp:inline>
        </w:drawing>
      </w:r>
    </w:p>
    <w:p>
      <w:pPr>
        <w:spacing w:after="0"/>
        <w:ind w:left="0"/>
        <w:jc w:val="left"/>
      </w:pPr>
      <w:r>
        <w:rPr>
          <w:rFonts w:ascii="Times New Roman"/>
          <w:b w:val="false"/>
          <w:i w:val="false"/>
          <w:color w:val="000000"/>
          <w:sz w:val="28"/>
        </w:rPr>
        <w:t>– объем электрической энергии, купленный за соответствующий час суток у единого закупщика электрической энергии</w:t>
      </w:r>
    </w:p>
    <w:p>
      <w:pPr>
        <w:spacing w:after="0"/>
        <w:ind w:left="0"/>
        <w:jc w:val="both"/>
      </w:pP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условным потребителем и включенный в соответствующие суточные графики производства-потребления электрической энергии, утвержденные системным оператором (с учетом корректировок), в кВт*ч (округляется до целых);</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r – количество условных потребителей, купивших электрическую энергию у единого закупщика электрической энергии за соответствующий час суток;</w:t>
      </w:r>
    </w:p>
    <w:bookmarkEnd w:id="8"/>
    <w:bookmarkStart w:name="z15"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914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14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плановые затраты расчетно-финансового центра на формирование резервного фонда за соответствующий расчетный период за покупку электрической энергии от энергопроизводящих организаций, использующих возобновляемые источники энергии и имеющих заключенный с с расчетно-финансовым центром долгосрочный договор купли–продажи электрической энергии, определяемые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использования резервного фонда, утвержденными приказом исполняющий обязанности Министра энергетики Республики Казахстан от 29 июля 2016 года № 361 (зарегистрирован в Реестре государственной регистрации нормативных правовых актов за № 14210) (далее – Правила резервного фонда), в тенге без НДС;</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850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50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долгосрочного договора купли – продажи электрической энергии </w:t>
      </w:r>
    </w:p>
    <w:p>
      <w:pPr>
        <w:spacing w:after="0"/>
        <w:ind w:left="0"/>
        <w:jc w:val="both"/>
      </w:pPr>
      <w:r>
        <w:drawing>
          <wp:inline distT="0" distB="0" distL="0" distR="0">
            <wp:extent cx="342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энергопроизводящей организации, использующей возобновляемые источники энергии (энергетическую утилизацию отходов), заключенного с единым закупщиком электрической энергии, в тенге/кВт*ч без НДС (округляется до сотых);</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876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76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w:t>
      </w:r>
    </w:p>
    <w:p>
      <w:pPr>
        <w:spacing w:after="0"/>
        <w:ind w:left="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на данный час суток в рамках долгосрочного договора купли – продажи электрической энергии, заключенного с единым закупщиком электрической энергии, кВт*ч (округляется до целых);</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800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00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цена долгосрочного договора купли – продажи электрической энергии </w:t>
      </w:r>
    </w:p>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энергопроизводящей организации, использующей возобновляемые источники энергии (энергетическую утилизацию отходов), заключенного с расчетно-финансовым центром, в тенге/кВт*ч без НДС (округляется до сотых);</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876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76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w:t>
      </w:r>
    </w:p>
    <w:p>
      <w:pPr>
        <w:spacing w:after="0"/>
        <w:ind w:left="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за расчетный период (календарный месяц), к которому относится данный час суток, согласно фактическому балансу производства-потребления на оптовом рынке электрической энергии, в рамках долгосрочного договора купли – продажи электрической энергии, заключенного с расчетно-финансовым центром, кВт*ч (округляется до целых);</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фактические затраты единого закупщика электрической энергии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 без НДС (округляется до сотых), определяемые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3200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200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тариф системного оператора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тенге/кВт*ч без НДС,</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990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90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электрической энергии, который за соответствующий расчетный период (календарный месяц) выработали энергопроизводящие организации, использующие возобновляемые источники энергии (энергетическую утилизацию отходов) и имеющие заключенный с единым закупщиком электрической энергии долгосрочный договор купли – продажи электрической энергии, в кВт*ч (округляется до целых);</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понесенные на балансирующем рынке электрической энергии (за вычетом доходов), за соответствующий расчетный период (календарный месяц), в тенге без НДС (округляется до сотых);</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связанные с осуществлением его деятельности, за соответствующий расчетный период (календарный месяц), в тенге без НДС;</w:t>
      </w:r>
      <w:r>
        <w:br/>
      </w:r>
      <w:r>
        <w:rPr>
          <w:rFonts w:ascii="Times New Roman"/>
          <w:b w:val="false"/>
          <w:i w:val="false"/>
          <w:color w:val="000000"/>
          <w:sz w:val="28"/>
        </w:rPr>
        <w:t>
</w:t>
      </w:r>
      <w:r>
        <w:br/>
      </w:r>
    </w:p>
    <w:p>
      <w:pPr>
        <w:spacing w:after="0"/>
        <w:ind w:left="0"/>
        <w:jc w:val="both"/>
      </w:pPr>
      <w:r>
        <w:drawing>
          <wp:inline distT="0" distB="0" distL="0" distR="0">
            <wp:extent cx="4025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25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558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58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централизованной покупки и продажи электрической энергии, установленная согласно Правилам ценообразования на общественно значимых рынках,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февраля 2017 года № 36 (зарегистрирован в Реестре государственной регистрации нормативных правовых актов за № 14778) (далее – Правила ценообразования), тенге на 1 кВтч;</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за соответствующий час суток у единого закупщика электрической энергии </w:t>
      </w:r>
    </w:p>
    <w:p>
      <w:pPr>
        <w:spacing w:after="0"/>
        <w:ind w:left="0"/>
        <w:jc w:val="both"/>
      </w:pP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06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субъектом оптового рынка электрической энергии, в тенге (округляется до целых);</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58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84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разница фактических затрат единого закупщика электрической энергии, связанных с осуществлением его деятельности и затрат единого закупщика электрической энергии, связанных с осуществлением его деятельности на календарный год, учтенных при формировании цены централизованной покупки и продажи электрической энергии, устанавливаемой согласно Правилам ценообразования в тенге (округляется до сотых), рассчитываемая один раз в год по итогам календарного года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3098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98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1016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016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единого закупщика электрической энергии, связанные с осуществлением его деятельности на календарный год, учтенные при формировании цены централизованной покупки и продажи электрической энергии, устанавливаемой согласно Правилам ценообразования,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2895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8956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обоснованные затраты единого закупщика электрической энергии в предстоящем календарном году, связанные с осуществлением его деятельности по централизованной покупке и продаже электрической энергии, из расчета на один киловатт-час электрической энергии, сформированные согласно </w:t>
      </w:r>
      <w:r>
        <w:rPr>
          <w:rFonts w:ascii="Times New Roman"/>
          <w:b w:val="false"/>
          <w:i w:val="false"/>
          <w:color w:val="000000"/>
          <w:sz w:val="28"/>
        </w:rPr>
        <w:t>Правилам</w:t>
      </w:r>
      <w:r>
        <w:rPr>
          <w:rFonts w:ascii="Times New Roman"/>
          <w:b w:val="false"/>
          <w:i w:val="false"/>
          <w:color w:val="000000"/>
          <w:sz w:val="28"/>
        </w:rPr>
        <w:t xml:space="preserve"> ценообразования, в тенге (округляется до десятых);</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суммы по </w:t>
      </w:r>
    </w:p>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413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1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r;</w:t>
      </w:r>
      <w:r>
        <w:br/>
      </w:r>
      <w:r>
        <w:rPr>
          <w:rFonts w:ascii="Times New Roman"/>
          <w:b w:val="false"/>
          <w:i w:val="false"/>
          <w:color w:val="000000"/>
          <w:sz w:val="28"/>
        </w:rPr>
        <w:t>
</w:t>
      </w:r>
    </w:p>
    <w:bookmarkStart w:name="z36" w:id="26"/>
    <w:p>
      <w:pPr>
        <w:spacing w:after="0"/>
        <w:ind w:left="0"/>
        <w:jc w:val="both"/>
      </w:pPr>
      <w:r>
        <w:rPr>
          <w:rFonts w:ascii="Times New Roman"/>
          <w:b w:val="false"/>
          <w:i w:val="false"/>
          <w:color w:val="000000"/>
          <w:sz w:val="28"/>
        </w:rPr>
        <w:t>
      r – общее количество субъектов оптового рынка электрической энергии, купивших электрическую энергию у единого закупщика электрической энергии за соответствующий час суток.</w:t>
      </w:r>
    </w:p>
    <w:bookmarkEnd w:id="26"/>
    <w:bookmarkStart w:name="z37" w:id="27"/>
    <w:p>
      <w:pPr>
        <w:spacing w:after="0"/>
        <w:ind w:left="0"/>
        <w:jc w:val="both"/>
      </w:pPr>
      <w:r>
        <w:rPr>
          <w:rFonts w:ascii="Times New Roman"/>
          <w:b w:val="false"/>
          <w:i w:val="false"/>
          <w:color w:val="000000"/>
          <w:sz w:val="28"/>
        </w:rPr>
        <w:t>
      Безразмерный коэффициент, представляющий из себя долю фактических затрат на поддержку использования возобновляемых источников энергии за соответствующий час суток, приходящуюся на субъектов оптового рынка электрической энергии (за исключением субъектов оптового рынка электрической энергии, осуществляющих деятельность по цифровому майнингу, субъектов оптового рынка электрической энергии, включенных в список адресной поддержки, а также субъектов оптового рынка электрической энергии, являющихся условными потребителями) (s), определяется по следующей формуле:</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27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1275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74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приобретенный у единого закупщика электрической энергии субъектами оптового рынка электрической энергии, включенный в соответствующий суточный график производства-потребления электрической энергии, утвержденный системным оператором (с учетом корректировок) на данный час суток, за исключением объема, приобретенного у единого закупщика электрической энергии субъектами, осуществляющими деятельность по цифровому майнингу, субъектами других стран и (или) уполномоченными организациями, и минимально допустимых часовых объемов покупки электрической энергии, определяемых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 в кВт*ч (округляется до целых);</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825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8255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потребления электрической энергии, включенный в соответствующий суточный график производства-потребления электрической энергии, утвержденный системным оператором (с учетом корректировок) на данный час суток условных потребителей, за исключением объема электрической энергии, приобретенного условными потребителями у единого закупщика электрической энергии (в части часового объема покупки электрической энергии у единого закупщика электрической энергии сверх минимально допустимого часового объема заявки на покупку),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054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054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суммы по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k, r, соответственно;</w:t>
      </w:r>
      <w:r>
        <w:br/>
      </w:r>
      <w:r>
        <w:rPr>
          <w:rFonts w:ascii="Times New Roman"/>
          <w:b w:val="false"/>
          <w:i w:val="false"/>
          <w:color w:val="000000"/>
          <w:sz w:val="28"/>
        </w:rPr>
        <w:t>
</w:t>
      </w:r>
    </w:p>
    <w:bookmarkStart w:name="z43" w:id="31"/>
    <w:p>
      <w:pPr>
        <w:spacing w:after="0"/>
        <w:ind w:left="0"/>
        <w:jc w:val="both"/>
      </w:pPr>
      <w:r>
        <w:rPr>
          <w:rFonts w:ascii="Times New Roman"/>
          <w:b w:val="false"/>
          <w:i w:val="false"/>
          <w:color w:val="000000"/>
          <w:sz w:val="28"/>
        </w:rPr>
        <w:t>
      k – количество условных потребителей за данный час суток;</w:t>
      </w:r>
    </w:p>
    <w:bookmarkEnd w:id="31"/>
    <w:bookmarkStart w:name="z44" w:id="32"/>
    <w:p>
      <w:pPr>
        <w:spacing w:after="0"/>
        <w:ind w:left="0"/>
        <w:jc w:val="both"/>
      </w:pPr>
      <w:r>
        <w:rPr>
          <w:rFonts w:ascii="Times New Roman"/>
          <w:b w:val="false"/>
          <w:i w:val="false"/>
          <w:color w:val="000000"/>
          <w:sz w:val="28"/>
        </w:rPr>
        <w:t>
      r – общее количество субъектов оптового рынка электрической энергии за данный час суток.".</w:t>
      </w:r>
    </w:p>
    <w:bookmarkEnd w:id="32"/>
    <w:bookmarkStart w:name="z45" w:id="3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10 апреля 2020 года № 139 "Об утверждении Правил оказания государственной услуги "Выдача лицензии на работы и услуги в сфере углеводородов" (зарегистрирован в Реестре государственной регистрации нормативных правовых актов за № 20383) следующее изменение:</w:t>
      </w:r>
    </w:p>
    <w:bookmarkEnd w:id="33"/>
    <w:bookmarkStart w:name="z46"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лицензии на работы и услуги в сфере углеводородов", утвержденных указанным приказом:</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новой редакции:</w:t>
      </w:r>
    </w:p>
    <w:bookmarkStart w:name="z48" w:id="35"/>
    <w:p>
      <w:pPr>
        <w:spacing w:after="0"/>
        <w:ind w:left="0"/>
        <w:jc w:val="both"/>
      </w:pPr>
      <w:r>
        <w:rPr>
          <w:rFonts w:ascii="Times New Roman"/>
          <w:b w:val="false"/>
          <w:i w:val="false"/>
          <w:color w:val="000000"/>
          <w:sz w:val="28"/>
        </w:rPr>
        <w:t>
      "1) Единый контакт-центр – юридическое лицо, определенное уполномоченным органом в сфере оказания государственных услуг,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35"/>
    <w:bookmarkStart w:name="z49" w:id="36"/>
    <w:p>
      <w:pPr>
        <w:spacing w:after="0"/>
        <w:ind w:left="0"/>
        <w:jc w:val="both"/>
      </w:pPr>
      <w:r>
        <w:rPr>
          <w:rFonts w:ascii="Times New Roman"/>
          <w:b w:val="false"/>
          <w:i w:val="false"/>
          <w:color w:val="000000"/>
          <w:sz w:val="28"/>
        </w:rPr>
        <w:t>
      3.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36"/>
    <w:bookmarkStart w:name="z50" w:id="3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7"/>
    <w:bookmarkStart w:name="z51" w:id="38"/>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энергетики Республики Казахстан; </w:t>
      </w:r>
    </w:p>
    <w:bookmarkEnd w:id="38"/>
    <w:bookmarkStart w:name="z52" w:id="39"/>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энергетики Республики Казахстан сведений об исполнении мероприятий, предусмотренных подпунктами 1) и 2) настоящего пункта. </w:t>
      </w:r>
    </w:p>
    <w:bookmarkEnd w:id="39"/>
    <w:bookmarkStart w:name="z53" w:id="4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энергетики Республики Казахстан.</w:t>
      </w:r>
    </w:p>
    <w:bookmarkEnd w:id="40"/>
    <w:bookmarkStart w:name="z54" w:id="4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56" w:id="42"/>
      <w:r>
        <w:rPr>
          <w:rFonts w:ascii="Times New Roman"/>
          <w:b w:val="false"/>
          <w:i w:val="false"/>
          <w:color w:val="000000"/>
          <w:sz w:val="28"/>
        </w:rPr>
        <w:t>
      "СОГЛАСОВАН"</w:t>
      </w:r>
    </w:p>
    <w:bookmarkEnd w:id="42"/>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7" w:id="43"/>
      <w:r>
        <w:rPr>
          <w:rFonts w:ascii="Times New Roman"/>
          <w:b w:val="false"/>
          <w:i w:val="false"/>
          <w:color w:val="000000"/>
          <w:sz w:val="28"/>
        </w:rPr>
        <w:t>
      "СОГЛАСОВАН"</w:t>
      </w:r>
    </w:p>
    <w:bookmarkEnd w:id="4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8" w:id="44"/>
      <w:r>
        <w:rPr>
          <w:rFonts w:ascii="Times New Roman"/>
          <w:b w:val="false"/>
          <w:i w:val="false"/>
          <w:color w:val="000000"/>
          <w:sz w:val="28"/>
        </w:rPr>
        <w:t>
      "СОГЛАСОВАН"</w:t>
      </w:r>
    </w:p>
    <w:bookmarkEnd w:id="44"/>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