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f735" w14:textId="c70f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регионального развития Республики Казахстан от 24 сентября 2013 года № 239/ОД "Об утверждении инструкции по осуществлению мониторинга и анализа социально-экономического развития сельских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апреля 2024 года № 20. Зарегистрирован в Министерстве юстиции Республики Казахстан 2 мая 2024 года № 34322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регионального развития Республики Казахстан от 24 сентября 2014 года № 239/ОД "Об утверждении инструкции по осуществлению мониторинга и анализа социально-экономического развития сельских населенных пунктов" (зарегистрированного в Реестре государственной регистрации нормативных правовых актов за № 8851)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о проведении местными исполнительными органами мониторинга (скрининга) социально-экономического развития сельских населенных пунктов";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"Вопросы Министерства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Инструкцию о проведении местными исполнительными органами мониторинга (скрининга) социально-экономического развития сельских населенных пунктов";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мониторинга и анализа социально-экономического развития сельских населенных пунктов, утверждҰнную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осуществлению мониторинга (скрининга) социально-экономического развития сельских населенных пунктов;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239/ОД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 проведении местными исполнительными органами мониторинга (скрининга) социально-экономического развития сельских населенных пунктов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проведении местными исполнительными органами мониторинга (скрининга) социально-экономического развития сельских населенных пунктов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национальной экономики Республики Казахстан, утвержденного постановлением Правительства Республики Казахстан от 24 сентября 2014 года №1011 "Вопросы Министерства национальной экономики Республики Казахстан".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социально-экономического развития (далее – Мониторинг) осуществляется ежегодно с целью проведения анализа социально-экономического развития сельских населенных пунктов (далее – СНП) и используется в определении сел с потенциалом развития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сентября 2019 года № 81 "Об утверждении критериев для определения сельских населенных пунктов" (зарегистрированного в Реестре государственной регистрации нормативных правовых актов за № 19394) (далее – Критерии).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Местными исполнительными органами (далее – МИО) по согласованию с центральным уполномоченным органом в сфере регионального развития осуществляется мониторинг, социальной и инженерной инфраструктуры СНП и на его основе определяется потенциал их развития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 для осуществления Мониторинга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Источниками информации для осуществления Мониторинга являются: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общегосударственных статистических наблюдений;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полученная от МИО;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ведомственных статистических наблюдений.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составления и предоставления информации по проведению Мониторинга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по Мониторингу формируется на основе форм мониторинга социально-экономического развития СНП (далее – Формы мониторинга) согласно приложениям 1, 2, 3, 4, 5, 6, 7, 8, 9, 10 и 11 к настоящей Инструкции.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формам мониторинга (далее – Информация по мониторингу) составляется акимами сел, поселков и сельских округов.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мониторингу формируется на основе общедоступных данных книги похозяйственного учета, органов статистики, заинтересованных МИО в разрезе каждого СНП и предоставляется в акимат района (города областного значения) за подписью акима села, поселка, сельского округа.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МИО района (города областного значения) изучают и анализируют полученную информацию по мониторингу в разрезе каждого СНП, готовят обобщенную аналитическую записку и представляют за подписью акима района (города областного значения) на изучение и согласование заинтересованным областным управлениям, департаментам и организациям.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изучения и согласования с заинтересованными областными управлениями, департаментами и организациями, информация по мониторингу с аналитической запиской представляется на свод в областное управление экономики и бюджетного планирования.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Областное управление экономики и бюджетного планирования изучает, анализирует полученную информацию по мониторингу и на ее основе готовит итоговую аналитическую информацию по развитию сельских территорий области и за подписью акима области или его заместителя представляет в уполномоченный орган в области регионального развития.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области регионального развития проводит анализ полученной информации и направляет аналитическую записку центральным и местным исполнительным органам для принятия управленческих решений по развитию сельских территорий.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Аналитическая записка составляется в разрезе форм мониторинга с указанием количественных и качественных показателей, финансовых средств на проведение ремонтно-строительных работ, состояния объектов социальной, инженерной и транспортной инфраструктуры, показателей развития малого и среднего бизнеса, развития приоритетных отраслей экономики региона, а также проблемных вопросов и пути их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 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4" w:id="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субъектах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1-АПК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сельских дворов,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хозяйствующих субъектов, единиц 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Сервисно-заготовительные центры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Социально-предпринимательские корпорации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производственное товарищество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(частные) предприниматели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субъекты 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хозяйствующих субъектов,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отраслям, единиц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обслуживания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крупного (базового) предприятия (указать название)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в крупном (базовом) предприятии (человек)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всего,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и овцы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коровы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всего,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всех видов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реализацию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племенные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крупного рогатого скота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лошадей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овец и коз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свиней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верблюдов по формуле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животноводства (расчет по формуле)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реализации, тысяч тенге за тонну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зерна, тонн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масличных,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бахчевых, тонн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урожая, тонн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зерновых культур по формуле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масличных культур по формуле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бахчевых культур по формуле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растениеводства (расчет по формуле)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(расчет по формуле)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перерабатывающих цехов, единиц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зарегистрированной сельскохозяйственной техники,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растениеводческой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рыбной продукции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самоходные сельскохозяйственные и дорожно-строительные машины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сферы обслуживания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жилой фонд всего, квадратных метров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жильҰм 1человека,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занято людей,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обслуживание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занято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занято людей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занято людей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УдалҰнность, километры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областного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центра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железнодорожной 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ближайшего города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филиалы и отделения железнодорожных, энергетических компаний и другие.</w:t>
      </w:r>
    </w:p>
    <w:bookmarkEnd w:id="40"/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субъектах агропромышленного комплекса"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субъектах агропромышленного комплекса (далее - Форма).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округа, села или поселка, СНП в соответствии с КАТО;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– указывается статус населенного пункта, численность населения и количество сельских дворов;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8-24 – указывается общее количество хозяйствующих субъектов по типам организационных правовых форм и в разрезе отраслей, находящихся в конкретном СНП;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25-26 – указывается наименование крупного (базового) предприятия и численность работников, которое непосредственно связано с социально-экономическим развитием конкретного СНП;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27-39 – указывается количество поголовья скота в разрезе крупного рогатого скота (в том числе коровы), лошадей, овцы и козы, свиньи, верблюды, а также количество птиц всех видов по данным похозяйственной книги;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40-44 – указывается цена за реализацию поголовья скота (тенге за голову) в разрезе крупного рогатого скота (в том числе коровы), лошадей, овцы и козы, свиньи, верблюды;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– указывается расчет крупного рогатого скота по формуле, общее количество крупного рогатого скота умножается на 5 лет (средний срок жизни в рамках сельского хозяйства) и делится на цену реализации одного поголовья скота;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– указывается расчет лошадей по формуле, общее количество лошадей умножается на 5 лет (средний срок жизни в рамках сельского хозяйства) и делится на цену реализации одного поголовья скота;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– указывается расчет овец и коз по формуле, общее количество овец и коз умножается на 3 года (средний срок жизни в рамках сельского хозяйства) и делится на цену реализации одного поголовья скота;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– указывается расчет свиней по формуле, общее количество свиней умножаем на 3 года (средний срок жизни в рамках сельского хозяйства) и делится на цену реализации одного поголовья скота;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– указывается расчет верблюдов по формуле, общее количество верблюдов умножается на 5 лет (средний срок жизни в рамках сельского хозяйства) и делится на цену реализации одного поголовья скота;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50 – указывается всего доходов от отрасли животноводства (сумма доходов от всех видов скота);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51-53 – указывается цена продукции растениеводства (тенге за тонну);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54-56 – указывается количество продукции растениеводства в разрезе объемов зерна, масличных, бахчевых по данным похозяйственной книги;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57 – указывается объем урожая по всем видам продукции растениеводства (зерна, масличных и бахчевых);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58 – указывается расчет зерновых культур по формуле, общий объем зерна умножается на цену реализации зерновых культур;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59 – указывается расчет масличных культур по формуле, общий объем масличных умножается на цену реализации масличных культур;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– указывается расчет бахчевых культур по формуле, общий объем бахчевых умножается на цену реализации бахчевых культур;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61– указывается всего доходов от отрасли растениеводства (сумма доходов от всех видов культур);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62 – указывается общие доходы от отраслей животноводства и растениеводства (сумма доходов);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63-67 – указывается общее количество перерабатывающих цехов, находящихся в конкретном СНП;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68-70 – указывается количество зарегистрированной сельскохозяйственной техники, находящихся в конкретном СНП;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71-78 – указывается общее количество объектов сферы обслуживания, подразделяющихся на сферу торговли, бытового обслуживания, общественного питания и количество занятых в них людей;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79-80 – указывается общая площадь жилого фонда и обеспеченность жильем 1 человека;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81-85 – указывается удаленность СНП от потенциальных рынков сбыта (от областного центра, райцентра, центра сельского округа, железнодорожной станции, ближайшего города);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86 – указывается примечание по СНП.</w:t>
      </w:r>
    </w:p>
    <w:bookmarkEnd w:id="72"/>
    <w:p>
      <w:pPr>
        <w:spacing w:after="0"/>
        <w:ind w:left="0"/>
        <w:jc w:val="both"/>
      </w:pPr>
      <w:bookmarkStart w:name="z86" w:id="7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89" w:id="7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земельных ресурсах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ирригационных (орошаемых)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2-ЗРИС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поселкового/сельского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населҰнного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территорий,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населенных пунктов,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сельхозназначения,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бонитета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пастбища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посевы кормовых культур (сеянные)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ирригационных (орошаемых) систем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посевная площадь – всего, гектар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сельхозназначения,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и спецземфонда, гектар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промышленности, особо охраняемые, лесной и водный фонд, также земли городов), гектар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засоленности почв земель сельскохозяйственного назначения, в процентах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/ не действует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(залежь и так далее)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(залежь и так далее)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бонитета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bookmarkStart w:name="z92" w:id="77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земельных ресурсах и ирригационных (орошаемых) системах"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земельных ресурсах и ирригационных (орошаемых) системах (далее - Форма).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– указывается статус населенного пункта, численность населения и общая площадь территорий СНП в гектарах;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площадь земель СНП;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– указывается площадь земель сельскохозяйственного назначения, в разрезе пашен, сенокосов, пастбищ и других земель, а также средний балл бонитет пашен и уровень засоленности почв;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19-24 – указывается площадь земель запаса и спецземфонда в разрезе пашен, сенокосов, пастбищ и других земель;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– указывается площадь прочих земель (земли промышленности, особо охраняемые, лесной и водный фонд, также земли городов);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26-27 – указывается наличие ирригационных (орошаемых) систем и их использование;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– указывается вся посевная площадь в конкретном СНП;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– указывается примечание по СНП.</w:t>
      </w:r>
    </w:p>
    <w:bookmarkEnd w:id="91"/>
    <w:p>
      <w:pPr>
        <w:spacing w:after="0"/>
        <w:ind w:left="0"/>
        <w:jc w:val="both"/>
      </w:pPr>
      <w:bookmarkStart w:name="z107" w:id="9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10" w:id="9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демографических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показателях и занятости сельского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3-ДПЗСН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(опорный/ спутниковый)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акимата сельского округа, села, поселка (есть)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родившихся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возрасте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и 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прибывших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выбывших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миграции (+, -)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второго пятилетнего периода за 5 лет до первого пятилетнего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второго первого пятилетнего периода за 5 лет до первого пятилетнего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первого пятилетнего периода за последние 5 лет до отчетного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первого пятилетнего периода за последние 5 лет до отчетного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пятилетний период: динамика за последние 5 лет до отчетного года в процентах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пятилетний период: динамика за 5 лет до первого пятилетнего периода, в процентах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первый пятилетний 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второй пятилетний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16-29 лет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16-29 лет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занятые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отраслям: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численность безработных зарегистрированных в органах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адресной социальной помощи,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both"/>
      </w:pPr>
      <w:bookmarkStart w:name="z116" w:id="99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отдела)</w:t>
      </w:r>
    </w:p>
    <w:bookmarkEnd w:id="100"/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демографических показателях занятости сельского населения"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демографических показателях и занятости сельского населения (далее - Форма).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– указывается статус населенного пункта, наличие акимата с/о. села, поселка и численность населения;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8-12 – указывается численность мужчин по возрастным категориям (до 16, от 16 до 29, от 30 до 62, от 63 и старше);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13-17 – указывается численность женщин по возрастным категориям (до 16, от 16 до 29, от 30 до 57, от 58 и старше);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18-22 – указывается количество родившихся, умерших, прибывших, выбывших и сальдо миграции;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23-26 – указывается численность населения за 10-летний период (за первый пятилетний и за второй пятилетний периоды);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27-28 – указывается миграция населения за первый пятилетний период (динамика за последний 5 лет до отчетного года), второй пятилетний период (динамика за 5 лет до первого пятилетнего периода), расчет темпа прироста производится: Темп прироста = Текущее значение / Базовое значение × 100 % – 100 %;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29-30 – указывается расчет численности населения за первый пятилетний и за второй пятилетний периоды, расчет темпа прироста производится по следующей формуле: Темп прироста = Текущее значение / Базовое значение × 100 % – 100 %;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31-32 – указывается миграция населения за 10 лет в количестве людей и процентах;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33-34 – указывается общее количество экономически активного населения, также из них указывается экономически активное население 16-29 лет;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35-43 – указывается общее количество занятых (из них наемные работники и самозанятые) в том числе по отраслям;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44-45 – указывается общее количество безработные (из них количество безработных, зарегистрированных в органах занятости);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– указывается количество семей;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– указывается количество людей, получающих адресную социальную помощь;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48-49 – указывается координаты СНП (широта и долгота).</w:t>
      </w:r>
    </w:p>
    <w:bookmarkEnd w:id="120"/>
    <w:p>
      <w:pPr>
        <w:spacing w:after="0"/>
        <w:ind w:left="0"/>
        <w:jc w:val="both"/>
      </w:pPr>
      <w:bookmarkStart w:name="z138" w:id="12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41" w:id="12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типах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4-ТВД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 / спутниковые/ стратегические)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забора воды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внутрипоселковой водопроводной сети (километр)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действует (километр)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пользующихся централ. водоснабжением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централизованного водоснабжения (%) (расчет по формуле)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пользуются водоразборной колонкой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заведен в 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чистой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 или напорный резервуар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системы водоснабжения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чьей собственности находится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обслуживающая объект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пользующихся децентрализованным водоснабжением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децентрализованного водоснабжения (%) (расчет по формуле)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(река, родник, озеро)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пункта раздачи воды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комплексного блока модуля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колодцев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водоочистной системой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водоочистной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водоснабжения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питьевой воды (соответствует, не соответствует санитарно-эпидемиологическим требованиям)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групповых водопроводов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пользующихся привозной водой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подвоза воды (километр)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bookmarkStart w:name="z145" w:id="126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типах водоснабжения"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типах водоснабжения (далее - Форма).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 – указывается статус населенного пункта и численность населения СНП;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источник забора воды (поверхностный, подземный и так далее);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– указывается протяженность внутрипоселковой водопроводной сети, в том числе действующая водопроводная сеть;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10-13 – указывается количество населения, пользующихся централизованным водоснабжением, в том числе пользующихся водоразборной колонкой, комплексным блок модулем и водопроводом, заведенным в дом. Также указывается уровень обеспеченности СНП централизованными источниками водоснабжения (расчет производится путем деления количества населения, пользующихся централизованным водоснабжением на общее количество населения в СНП и умножения на 100 %);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– указывается количество резервуаров чистой воды, в том числе действующих;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16-17 – указывается количество водонапорных башен или напорных резервуаров, в том числе действующих;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18-19 – указывается количество водоразборных колонок, в том числе действующих;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20-22 – указывается год постройки системы водоснабжения, в чьей собственности находится и организация, обслуживающая объект;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23-30 – указывается количество населения, пользующихся децентрализованным водоснабжением, в том числе подземными источниками (из пункта раздачи воды, комплексного блок модуля, скважины, колодцев), поверхностными источниками (реки, озера, родники) с водоочистной системой и без нее. Также указывается доля населения, пользующихся водой из децентрализованных источников водоснабжения СНП (расчет производится по формуле: количество населения пользующихся децентрализованным водоснабжением делится на общее количество населения СНП и умножается на 100 %);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31-32 – указывается количество населения, пользующихся привозной водой и расстояние подвоза воды;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33 – указывается качество питьевой воды, соответствующей или не соответствующей нормам санитарно-эпидемиологической службы;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– указывается наименование группового водопровода.</w:t>
      </w:r>
    </w:p>
    <w:bookmarkEnd w:id="144"/>
    <w:p>
      <w:pPr>
        <w:spacing w:after="0"/>
        <w:ind w:left="0"/>
        <w:jc w:val="both"/>
      </w:pPr>
      <w:bookmarkStart w:name="z164" w:id="14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67" w:id="14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электроснабжении и газификации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5-СВЭЛГЗ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отделений почтовой связи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сотовой связи (Kcell, Activ, Beeline, другие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мобильного интернета (да/нет)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широкополосного доступа (да/нет)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широкополосного доступа к сети Интернет в государственных учреждениях, бюджетных организациях и объектах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электроснабжением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газоснабжением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централизованного электроснабжения (да, нет)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линии электропередач внутри села, километров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КТП, ТП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сетей газоснабжения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домов, газифицированных природным газом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газифицированных природным газом (централизованным газоснабжением),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сжиженным газом (в баллонах), да/нет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централизованных пунктов обмена баллонов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169" w:id="148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17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связи, электроснабжении и газификации"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связи, электроснабжении и газификации (далее - Форма).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 – указывается статус населенных пунктов и численность населения СНП;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– указывается количество отделений почтовой связи (стационарная или передвижная);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наличие сотовой связи (Kcell, Activ, Beeline, другие);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наличие мобильного интернета;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указывается наличие широкополосного доступа к сети Интернет (ШПД);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12 - указывается наличие Широкополосного доступа к сети Интернет в государственных учреждениях, бюджетных организациях и объектах образования;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наличие централизованного электроснабжения;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– указывается протяженность линий электропередач внутри села и их фактический износ;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16-17 – указывается количество комплектных трансформаторных подстанций (КТП, ТП) и их фактический износ;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– указывается год постройки сетей газоснабжения;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– указывается процент домов, газифицированных природным газом;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– указывается охват населения газифицированных природным газом (централизованным газоснабжением);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указывается наличие сжиженного газа (в баллонах);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указывается количество централизованных пунктов обмена баллонов.</w:t>
      </w:r>
    </w:p>
    <w:bookmarkEnd w:id="168"/>
    <w:p>
      <w:pPr>
        <w:spacing w:after="0"/>
        <w:ind w:left="0"/>
        <w:jc w:val="both"/>
      </w:pPr>
      <w:bookmarkStart w:name="z190" w:id="16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ШПД – широкополосный доступ;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КТП – комплектная трансформаторная подстанция;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ТП – трансформаторная подстанция;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93" w:id="17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протяженности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6-ДРГМЗ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дорог с твердым покрытием (километров)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автомобильной дороги областного и/или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автомобильной дороги, связывающие СНП с райцентром, километры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дорог внутри поселка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Автобусное сообщение (есть, нет)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дороги (хорошее, удовлетворительное, не удовлетворительное)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твердым покрытием, километров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состояние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Требуется, километров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покрытие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бездорожье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195" w:id="172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19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протяженности дорог местного значения"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протяженности дорог местного значения (далее - Форма).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– указывается статус населенного пункта и численность населения;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протяженность дорог с твердым покрытием (километр);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расстояние до автомобильной дороги областного и/или республиканского значения;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9-12 – указывается общая протяженность автомобильной дороги, связывающие СНП с районным центром, в том числе по типам покрытия (твердое, грунтовое, бездорожье);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состояние дороги до райцентра (хорошее, удовлетворительное, не удовлетворительное);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14-18 – указывается общая протяженность дороги внутри СНП, в том числе с твердым покрытием и состоянием дороги (хорошее, удовлетворительное, не удовлетворительное);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19-20 – указывается протяженность дорог внутри поселка, требующих ремонта (капитальный, средний);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указывается наличие автобусного сообщения;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указывается примечание по СНП.</w:t>
      </w:r>
    </w:p>
    <w:bookmarkEnd w:id="187"/>
    <w:p>
      <w:pPr>
        <w:spacing w:after="0"/>
        <w:ind w:left="0"/>
        <w:jc w:val="both"/>
      </w:pPr>
      <w:bookmarkStart w:name="z211" w:id="188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14" w:id="1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дорогах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7-ДРОРЗ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покрытия, километров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дорожного покрытия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Проведенные ремонтно-строительные работы дорожного полотна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Требуется, километров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работы (строительство, реконструкция, капитальный, средний, текущий ремонт)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bookmarkStart w:name="z216" w:id="191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дорогах областного и районного значения"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дорогах областного и районного значения (далее - Форма).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– указывается индекс автодороги областного или районного значения и ее полное наименование;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– указывается общая протяженность автодороги областного или районного значения, в том числе по типам покрытия (асфальтобетонное, черное, гравийно-щебеночное, грунтовое);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9-14 – указывается протяженность автодороги областного или районного значения по типам состояния (хорошее, удовлетворительное, не удовлетворительное);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15-16 – указываются типы проведенных ремонтно-строительных работ дорожного полотна (строительство, реконструкция, капитальный, средний или текущий ремонт) и протяженность отремонтированных дорог;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17-18 – указывается протяженность автодороги областного или районного значения, требующей капитального и среднего ремонта.</w:t>
      </w:r>
    </w:p>
    <w:bookmarkEnd w:id="201"/>
    <w:p>
      <w:pPr>
        <w:spacing w:after="0"/>
        <w:ind w:left="0"/>
        <w:jc w:val="both"/>
      </w:pPr>
      <w:bookmarkStart w:name="z227" w:id="20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30" w:id="20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по объектам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8-ОБР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 (до 6 лет)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 (только обучающие в школах и колледжах)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+ Средний возраст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+ Средний + Старший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учреждений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дошкольных учреждений (мест)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дошкольных (мест/тысяч человек)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обеспеченности (расчет по формуле)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необходимо мест в дошколах (мест) (расчет по формуле)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воспитывающихся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(открытия)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воспитывающихся детей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3-4 смены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3-4 смены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школ-интернатов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пришкольных интернатах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школьных учреждений (мест)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обеспечения школ (мест/тысяч человек)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обеспеченности школ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3-4 смены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мест в школах по бенчмаркам (мест) (расчет по формуле)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необходимо мест в школах (мест) (расчет по формуле)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сельского населенного пункта от ближайшей школы (километров)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подвоз (да, нет)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both"/>
      </w:pPr>
      <w:bookmarkStart w:name="z236" w:id="209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объектам образования"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по объектам образования (далее - Форма).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 – указывается статус населенного пункта и численность населения;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7-13 – указывается количество детей дошкольного и школьного возраста в разрезе возрастных групп (до 6 лет, от 6 до 10 лет, от 11 до 14 лет, свыше 15 лет), а также указывается количество детей младшего и среднего возрастов (от 6 до 10 лет и от 11 до 14 лет) и количество детей младшего, среднего и старшего возрастов (от 6 до 10 лет, от 11 до 14 лет и свыше 15 лет); 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14-20 – указывается количество дошкольных учреждений, в том числе детские сады и мини-центры с указанием года постройки (открытия), количества мест и воспитывающихся детей;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указывается вместимость дошкольных учреждений;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указывается уровень обеспеченности дошкольными учреждениями (мест/тысяч человек);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– указывается группа обеспеченности (если показатель уровень обеспеченности дошкольными учреждениями меньше 15%, то присваивается балл от 1 до 15, если меньше 30 % то от 16 до 30, если меньше 45 % то 31-45, если уровень обеспеченности дошкольными учреждениями свыше 45,% то присваивается балл выше 45;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– указывается дополнительные необходимые места в дошкольных учреждениях;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25-46 – указывается количество школ, в том числе начальная, основная и средняя школы с указанием года постройки, года последнего капитального ремонта, количества мест и обучающихся детей, типового или приспособленного помещения, обучающихся в 3-4 смены, состояние аварийности;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47-49 – указывается количество школ-интернатов и количество детей в пришкольных интернатах (проживающих и обучающихся);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50 – указывается вместимость школьных учреждений;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51 – указывается уровень обеспечения школ (мест/тысяч человек);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52 – указывается группа обеспеченности школ;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53 – указывается необходимые места в школах по бенчмаркам;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54 – указывается дополнительные необходимые места в школах;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55 – указывается удаленность СНП от ближайшей школы. Данная графа заполняется в СНП, где не имеются школы;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56 – указывается наличие подвоза детей.</w:t>
      </w:r>
    </w:p>
    <w:bookmarkEnd w:id="231"/>
    <w:p>
      <w:pPr>
        <w:spacing w:after="0"/>
        <w:ind w:left="0"/>
        <w:jc w:val="both"/>
      </w:pPr>
      <w:bookmarkStart w:name="z259" w:id="232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62" w:id="23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объектам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9-ЗДР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Удаленность сельского населенного пункта от ближайшего медицинского учреждения (километров)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(специализированные)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 (в том числе участковая)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больницах (койко-место)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учреждений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 (семейная)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поликлинике и врачебной амбулатории (посещений)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медицинских учреждений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поликлинике и врачебной амбулатории (посещен)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Фельдшерско-акушерский пункт (в том числе фельдшерский пункт)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фельдшерско-акушерского пункта (посещения)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типовая, приспособленная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аварийности (да/нет)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арендованное, указать год начала аренды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медицинский пункт (посещения)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медицинскими учреждениями (расчет по формуле)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посещаемости медицинских учреждений (расчет по формуле)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посещаемости медицинских учреждений (расчет по формуле)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работник без содержания отдельного помещения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медицинских учреждений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медицинского персонала в соответствии со штатами нормативами, человек (физических лиц)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медицинский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врачей в процентах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врачей в процентах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both"/>
      </w:pPr>
      <w:bookmarkStart w:name="z269" w:id="240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27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объектам здравоохранения"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по объектам здравоохранения (далее - Форма).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5-6– указывается статус населенного пункта и численность населения;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удаленность СНП от ближайшего медицинского учреждения. Данная графа заполняется в СНП, где не имеются медицинские учреждения;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8-46 – указывается количество медицинских учреждений в разрезе центральной районной больницы, районной больницы (специализированной), сельской больницы (в том числе участковой), поликлиники, врачебной амбулатории (семейной), фельдшерско-акушерского пункта (в том числе фельдшерского пункта), медицинского пункта с указанием года постройки или аренды, года последнего капитального ремонта, типового или приспособленного помещения, состояния аварийности и количество койко-мест в больницах, количество посещений в поликлинике, ВА, ФАП и МП;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– указывается количество аптек;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– указывается охват медицинскими учреждениями (сумма количество посещений в поликлинике, ВА, ФАП и МП);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– указывается уровень посещаемости медицинских учреждений (охват медицинскими учреждениями делится на численность населения);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50 – указывается группа посещаемости медицинских учреждений 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51 – указывается медицинский работник без содержания отдельного помещения; 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52 – указывается общее количество медицинских учреждений;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53-58 – указывается численность медицинского персонала в соответствии со штатными нормативами, в том числе штатной, физической численности врачей и среднего медицинского персонала.</w:t>
      </w:r>
    </w:p>
    <w:bookmarkEnd w:id="256"/>
    <w:p>
      <w:pPr>
        <w:spacing w:after="0"/>
        <w:ind w:left="0"/>
        <w:jc w:val="both"/>
      </w:pPr>
      <w:bookmarkStart w:name="z286" w:id="257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 – врачебная амбулатория;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ФАП –фельдшерско-акушерский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– медицинский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КАТО - Классификатор административно-территориальных объектов.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89" w:id="25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по объектам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10-КСТ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или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(опорные/спутниковые/стратегические)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Культурно-досуговые предприятия (клубы и дома культуры)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2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детско-юношеских спортивных школ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(капительный, средний)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2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Крытые спортивные комплексы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(капитальный, средний)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(капительный, средний)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спортзалы в образовательных школах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(капитальный, средний)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2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базы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(капитальный, средний)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последнего капитального ремонта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действующие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ремонт (капитальный, средний)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2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объектов туристской инфраструктуры (гостиницы, турбазы, санаторно-оздоровительные объекты),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туристическая зона (Топ-10, Топ-50)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 дома (одноэтажные бунгало, сельские домики, коттеджи и тому подобное)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охотничьи дома (трейлерные парки, развлекательные городки, охотничьи и рыболовные угодья и тому подобное)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отдыха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both"/>
      </w:pPr>
      <w:bookmarkStart w:name="z297" w:id="266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29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объектам культуры, спорта и туризма"</w:t>
      </w:r>
    </w:p>
    <w:bookmarkEnd w:id="267"/>
    <w:bookmarkStart w:name="z2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по объектам культуры, спорта и туризма (далее - Форма).</w:t>
      </w:r>
    </w:p>
    <w:bookmarkEnd w:id="268"/>
    <w:bookmarkStart w:name="z30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269"/>
    <w:bookmarkStart w:name="z30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270"/>
    <w:bookmarkStart w:name="z30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271"/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5-6 – указывается статус населенного пункта и численность населения;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7-26 – указывается количество объектов культуры, в том числе действующих в разрезе культурно-досуговых предприятий, библиотек, кинотеатров, музеев с указанием года постройки, года последнего капитального ремонта и количество мест в них;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– указывается общее количество детско-юношеских спортивных школ;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28-57 – указывается количество спортивных объектов, в том числе действующих в разрезе стадионов, крытых спортивных комплексов, спортивных залов в том числе спортзалы в образовательных школах, плавательных бассейнов, лыжных баз с указанием года постройки, года последнего капитального ремонта и требующих ремонта (капитальный, средний);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58 – указывается общее число объектов туристской инфраструктуры (гостиницы, турбазы, санаторно-оздоровительные объекты);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59-64 – указывается количество объектов туристской инфраструктуры, в том числе гостиницы, гостевые дома, охотничьи дома, дома отдыха, санатории и другие;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65 – указывается количество туристических зон (Топ-10, Топ-50).</w:t>
      </w:r>
    </w:p>
    <w:bookmarkEnd w:id="279"/>
    <w:p>
      <w:pPr>
        <w:spacing w:after="0"/>
        <w:ind w:left="0"/>
        <w:jc w:val="both"/>
      </w:pPr>
      <w:bookmarkStart w:name="z311" w:id="28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(скрининга)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314" w:id="28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национальной экономики Республики Казахстан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экологическом благополучии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11-ЭКОЛ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аким сельского округа, села,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в акимат района (города областного значения), акимат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представляет в акимат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мая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поселкового/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(опорные/спутниковые /стратегические)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фон, микрозиверт в час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питьевой воды, общая минерализация (сухой остаток) в воде (милиграмм/литр)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эколог. бедствия (в соответствии с НПА)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ТБО,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315" w:id="282"/>
      <w:r>
        <w:rPr>
          <w:rFonts w:ascii="Times New Roman"/>
          <w:b w:val="false"/>
          <w:i w:val="false"/>
          <w:color w:val="000000"/>
          <w:sz w:val="28"/>
        </w:rPr>
        <w:t>
      Руководитель (Фамилия Имя Отчество (при наличии), подпись)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(Фамилия Имя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</w:t>
      </w:r>
    </w:p>
    <w:bookmarkStart w:name="z31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экологическом благополучии"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сведений о экологическом благополучии (далее - Форма).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ответственным должностным лицом, его руководителем и заверяется печатью.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по каждому сельскому населенному пункту (далее - СНП) следующим образом: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код каждого СНП согласно национальному Классификатору административно-территориальных объектов (КАТО);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– указывается полное наименование района (города областного значения), сельского округа или поселка, СНП в соответствии с КАТО;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– указывается статус населенного пункта и численность населения;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радиационный фон (мкЗв/ч);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указывается качество питьевой воды, общая минерализация (сухой остаток) в воде (гр/литр);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зоны экологических бедствий (в соответствии с НПА);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общее количество полигонов ТБО (в соответствии с НПА).</w:t>
      </w:r>
    </w:p>
    <w:bookmarkEnd w:id="293"/>
    <w:p>
      <w:pPr>
        <w:spacing w:after="0"/>
        <w:ind w:left="0"/>
        <w:jc w:val="both"/>
      </w:pPr>
      <w:bookmarkStart w:name="z327" w:id="29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СНП –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мкЗв/ч – микрозиверт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гр/литр – грамм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НПА – нормативными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ТБО – твердые бытовые отходы;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