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d7c4" w14:textId="adad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13 мая 2024 года № 286. Зарегистрирован в Министерстве юстиции Республики Казахстан 14 мая 2024 года № 34362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Вводится в действие с </w:t>
      </w:r>
      <w:r>
        <w:rPr>
          <w:rFonts w:ascii="Times New Roman"/>
          <w:b w:val="false"/>
          <w:i w:val="false"/>
          <w:color w:val="ff0000"/>
          <w:sz w:val="28"/>
        </w:rPr>
        <w:t>08.06.2024</w:t>
      </w:r>
      <w:r>
        <w:rPr>
          <w:rFonts w:ascii="Times New Roman"/>
          <w:b w:val="false"/>
          <w:i w:val="false"/>
          <w:color w:val="ff0000"/>
          <w:sz w:val="28"/>
        </w:rPr>
        <w:t>.</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1"/>
    <w:bookmarkStart w:name="z7" w:id="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733</w:t>
      </w:r>
      <w:r>
        <w:rPr>
          <w:rFonts w:ascii="Times New Roman"/>
          <w:b w:val="false"/>
          <w:i w:val="false"/>
          <w:color w:val="000000"/>
          <w:sz w:val="28"/>
        </w:rPr>
        <w:t xml:space="preserve"> изложить в следующей редакции:</w:t>
      </w:r>
    </w:p>
    <w:bookmarkEnd w:id="2"/>
    <w:bookmarkStart w:name="z8" w:id="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выпуска государственных ценных бумаг для обращения на внешнем рынке на площадке Международного финансового центра "Астана" для финансирования "зеленых" проектов в рамках реализации целей устойчивого развития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w:t>
      </w:r>
    </w:p>
    <w:bookmarkEnd w:id="4"/>
    <w:bookmarkStart w:name="z11" w:id="5"/>
    <w:p>
      <w:pPr>
        <w:spacing w:after="0"/>
        <w:ind w:left="0"/>
        <w:jc w:val="both"/>
      </w:pPr>
      <w:r>
        <w:rPr>
          <w:rFonts w:ascii="Times New Roman"/>
          <w:b w:val="false"/>
          <w:i w:val="false"/>
          <w:color w:val="000000"/>
          <w:sz w:val="28"/>
        </w:rPr>
        <w:t>
      2. Департаменту государственного заимствования Министерства финансов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Настоящий приказ вводится в действие с 8 июня 2024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 xml:space="preserve">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