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3691c" w14:textId="4f369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и в постановление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12 июня 2024 года № 27. Зарегистрировано в Министерстве юстиции Республики Казахстан 12 июня 2024 года № 34486</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13 сентября 2017 года № 170 "Об установлении нормативных значений и методик расчетов пруденциальных нормативов и иных обязательных к соблюдению норм и лимитов, размера капитала банка и Правил расчета и лимитов открытой валютной позиции" (зарегистрировано в Реестре государственной регистрации нормативных правовых актов под № 15886)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Нормативных значениях</w:t>
      </w:r>
      <w:r>
        <w:rPr>
          <w:rFonts w:ascii="Times New Roman"/>
          <w:b w:val="false"/>
          <w:i w:val="false"/>
          <w:color w:val="000000"/>
          <w:sz w:val="28"/>
        </w:rPr>
        <w:t xml:space="preserve"> и методиках расчетов пруденциальных нормативов и иных обязательных к соблюдению норм и лимитов, размере капитала банка,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90</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"90. Банк осуществляет расчет коэффициента долговой нагрузки заемщика до принятия решений о (об):</w:t>
      </w:r>
    </w:p>
    <w:bookmarkEnd w:id="3"/>
    <w:bookmarkStart w:name="z9" w:id="4"/>
    <w:p>
      <w:pPr>
        <w:spacing w:after="0"/>
        <w:ind w:left="0"/>
        <w:jc w:val="both"/>
      </w:pPr>
      <w:r>
        <w:rPr>
          <w:rFonts w:ascii="Times New Roman"/>
          <w:b w:val="false"/>
          <w:i w:val="false"/>
          <w:color w:val="000000"/>
          <w:sz w:val="28"/>
        </w:rPr>
        <w:t>
      выдаче заемщику займа, за исключением выдачи займа (части займа) в рамках открытой кредитной линии;</w:t>
      </w:r>
    </w:p>
    <w:bookmarkEnd w:id="4"/>
    <w:bookmarkStart w:name="z10" w:id="5"/>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5"/>
    <w:bookmarkStart w:name="z11" w:id="6"/>
    <w:p>
      <w:pPr>
        <w:spacing w:after="0"/>
        <w:ind w:left="0"/>
        <w:jc w:val="both"/>
      </w:pPr>
      <w:r>
        <w:rPr>
          <w:rFonts w:ascii="Times New Roman"/>
          <w:b w:val="false"/>
          <w:i w:val="false"/>
          <w:color w:val="000000"/>
          <w:sz w:val="28"/>
        </w:rPr>
        <w:t>
      выдаче заемщику дополнительного займа в рамках заключенного (заключенных) договора (договоров) банковского займа;</w:t>
      </w:r>
    </w:p>
    <w:bookmarkEnd w:id="6"/>
    <w:bookmarkStart w:name="z12" w:id="7"/>
    <w:p>
      <w:pPr>
        <w:spacing w:after="0"/>
        <w:ind w:left="0"/>
        <w:jc w:val="both"/>
      </w:pPr>
      <w:r>
        <w:rPr>
          <w:rFonts w:ascii="Times New Roman"/>
          <w:b w:val="false"/>
          <w:i w:val="false"/>
          <w:color w:val="000000"/>
          <w:sz w:val="28"/>
        </w:rPr>
        <w:t>
      изменении условий открытой кредитной линии и (или) займа заемщика, влекущем увеличение размера периодических платежей по данному займу, согласно графику погашения займа.</w:t>
      </w:r>
    </w:p>
    <w:bookmarkEnd w:id="7"/>
    <w:bookmarkStart w:name="z13" w:id="8"/>
    <w:p>
      <w:pPr>
        <w:spacing w:after="0"/>
        <w:ind w:left="0"/>
        <w:jc w:val="both"/>
      </w:pPr>
      <w:r>
        <w:rPr>
          <w:rFonts w:ascii="Times New Roman"/>
          <w:b w:val="false"/>
          <w:i w:val="false"/>
          <w:color w:val="000000"/>
          <w:sz w:val="28"/>
        </w:rPr>
        <w:t>
      Под кредитной линией понимается обязательство банка кредитовать заемщика на условиях, позволяющих заемщику самому определять время получения займа, но в пределах суммы и времени, определенных правилами о внутренней кредитной политике банка для такой формы кредитования и договором.</w:t>
      </w:r>
    </w:p>
    <w:bookmarkEnd w:id="8"/>
    <w:bookmarkStart w:name="z14" w:id="9"/>
    <w:p>
      <w:pPr>
        <w:spacing w:after="0"/>
        <w:ind w:left="0"/>
        <w:jc w:val="both"/>
      </w:pPr>
      <w:r>
        <w:rPr>
          <w:rFonts w:ascii="Times New Roman"/>
          <w:b w:val="false"/>
          <w:i w:val="false"/>
          <w:color w:val="000000"/>
          <w:sz w:val="28"/>
        </w:rPr>
        <w:t>
      Под кредитным лимитом (в том числе по кредитным/платежным картам) понимается предельная сумма кредитной линии.</w:t>
      </w:r>
    </w:p>
    <w:bookmarkEnd w:id="9"/>
    <w:bookmarkStart w:name="z15" w:id="10"/>
    <w:p>
      <w:pPr>
        <w:spacing w:after="0"/>
        <w:ind w:left="0"/>
        <w:jc w:val="both"/>
      </w:pPr>
      <w:r>
        <w:rPr>
          <w:rFonts w:ascii="Times New Roman"/>
          <w:b w:val="false"/>
          <w:i w:val="false"/>
          <w:color w:val="000000"/>
          <w:sz w:val="28"/>
        </w:rPr>
        <w:t>
      Под заемщиком понимается физическое лицо – резидент Республики Казахстан, намеревающееся воспользоваться или пользующееся услугами банка по осуществлению банковских заемных операций.</w:t>
      </w:r>
    </w:p>
    <w:bookmarkEnd w:id="10"/>
    <w:bookmarkStart w:name="z16" w:id="11"/>
    <w:p>
      <w:pPr>
        <w:spacing w:after="0"/>
        <w:ind w:left="0"/>
        <w:jc w:val="both"/>
      </w:pPr>
      <w:r>
        <w:rPr>
          <w:rFonts w:ascii="Times New Roman"/>
          <w:b w:val="false"/>
          <w:i w:val="false"/>
          <w:color w:val="000000"/>
          <w:sz w:val="28"/>
        </w:rPr>
        <w:t>
      Требования части первой настоящего пункта распространяются на займы, предоставленные заемщикам на приобретение товаров, работ и услуг, не связанных с осуществлением предпринимательской деятельности, за исключением займов, выдаваемых в рамках системы жилищных строительных сбережений.</w:t>
      </w:r>
    </w:p>
    <w:bookmarkEnd w:id="11"/>
    <w:bookmarkStart w:name="z17" w:id="12"/>
    <w:p>
      <w:pPr>
        <w:spacing w:after="0"/>
        <w:ind w:left="0"/>
        <w:jc w:val="both"/>
      </w:pPr>
      <w:r>
        <w:rPr>
          <w:rFonts w:ascii="Times New Roman"/>
          <w:b w:val="false"/>
          <w:i w:val="false"/>
          <w:color w:val="000000"/>
          <w:sz w:val="28"/>
        </w:rPr>
        <w:t>
      Расчет коэффициента долговой нагрузки не производится при предоставлении в период с 1 апреля 2024 года по 31 декабря 2024 года включительно займа для целей приобретения нового автотранспортного средства, обеспеченного залогом данного автотранспортного средства.";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94</w:t>
      </w:r>
      <w:r>
        <w:rPr>
          <w:rFonts w:ascii="Times New Roman"/>
          <w:b w:val="false"/>
          <w:i w:val="false"/>
          <w:color w:val="000000"/>
          <w:sz w:val="28"/>
        </w:rPr>
        <w:t xml:space="preserve"> изложить в следующей редакции:</w:t>
      </w:r>
    </w:p>
    <w:bookmarkStart w:name="z19" w:id="13"/>
    <w:p>
      <w:pPr>
        <w:spacing w:after="0"/>
        <w:ind w:left="0"/>
        <w:jc w:val="both"/>
      </w:pPr>
      <w:r>
        <w:rPr>
          <w:rFonts w:ascii="Times New Roman"/>
          <w:b w:val="false"/>
          <w:i w:val="false"/>
          <w:color w:val="000000"/>
          <w:sz w:val="28"/>
        </w:rPr>
        <w:t>
      "94. Коэффициент долговой нагрузки заемщика рассчитывается как отношение суммы ежемесячного платежа по всем непогашенным займам заемщика, включая суммы просроченных платежей по всем непогашенным займам, и среднего ежемесячного платежа по новой задолженности заемщика, возникающей в случаях, предусмотренных частью первой пункта 90 Нормативов, к среднему ежемесячному доходу заемщика за последние 6 (шесть) месяцев:</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961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896100" cy="135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где:</w:t>
      </w:r>
    </w:p>
    <w:bookmarkEnd w:id="14"/>
    <w:bookmarkStart w:name="z22" w:id="15"/>
    <w:p>
      <w:pPr>
        <w:spacing w:after="0"/>
        <w:ind w:left="0"/>
        <w:jc w:val="both"/>
      </w:pPr>
      <w:r>
        <w:rPr>
          <w:rFonts w:ascii="Times New Roman"/>
          <w:b w:val="false"/>
          <w:i w:val="false"/>
          <w:color w:val="000000"/>
          <w:sz w:val="28"/>
        </w:rPr>
        <w:t>
      КДН – коэффициент долговой нагрузки;</w:t>
      </w:r>
    </w:p>
    <w:bookmarkEnd w:id="15"/>
    <w:bookmarkStart w:name="z23" w:id="16"/>
    <w:p>
      <w:pPr>
        <w:spacing w:after="0"/>
        <w:ind w:left="0"/>
        <w:jc w:val="both"/>
      </w:pPr>
      <w:r>
        <w:rPr>
          <w:rFonts w:ascii="Times New Roman"/>
          <w:b w:val="false"/>
          <w:i w:val="false"/>
          <w:color w:val="000000"/>
          <w:sz w:val="28"/>
        </w:rPr>
        <w:t>
      ПНЗi – ежемесячный платеж по непогашенному займу (непогашенным займам) заемщика, который рассчитывается в соответствии с пунктом 95 Нормативов;</w:t>
      </w:r>
    </w:p>
    <w:bookmarkEnd w:id="16"/>
    <w:bookmarkStart w:name="z24" w:id="17"/>
    <w:p>
      <w:pPr>
        <w:spacing w:after="0"/>
        <w:ind w:left="0"/>
        <w:jc w:val="both"/>
      </w:pPr>
      <w:r>
        <w:rPr>
          <w:rFonts w:ascii="Times New Roman"/>
          <w:b w:val="false"/>
          <w:i w:val="false"/>
          <w:color w:val="000000"/>
          <w:sz w:val="28"/>
        </w:rPr>
        <w:t>
      ППi – сумма просроченных платежей по непогашенному займу (непогашенным займам) заемщика;</w:t>
      </w:r>
    </w:p>
    <w:bookmarkEnd w:id="17"/>
    <w:bookmarkStart w:name="z25" w:id="18"/>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96 Нормативов;</w:t>
      </w:r>
    </w:p>
    <w:bookmarkEnd w:id="18"/>
    <w:bookmarkStart w:name="z26" w:id="19"/>
    <w:p>
      <w:pPr>
        <w:spacing w:after="0"/>
        <w:ind w:left="0"/>
        <w:jc w:val="both"/>
      </w:pPr>
      <w:r>
        <w:rPr>
          <w:rFonts w:ascii="Times New Roman"/>
          <w:b w:val="false"/>
          <w:i w:val="false"/>
          <w:color w:val="000000"/>
          <w:sz w:val="28"/>
        </w:rPr>
        <w:t>
      n – количество непогашенных займов заемщика;</w:t>
      </w:r>
    </w:p>
    <w:bookmarkEnd w:id="19"/>
    <w:bookmarkStart w:name="z27" w:id="20"/>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97 Нормативов.</w:t>
      </w:r>
    </w:p>
    <w:bookmarkEnd w:id="20"/>
    <w:bookmarkStart w:name="z28" w:id="21"/>
    <w:p>
      <w:pPr>
        <w:spacing w:after="0"/>
        <w:ind w:left="0"/>
        <w:jc w:val="both"/>
      </w:pPr>
      <w:r>
        <w:rPr>
          <w:rFonts w:ascii="Times New Roman"/>
          <w:b w:val="false"/>
          <w:i w:val="false"/>
          <w:color w:val="000000"/>
          <w:sz w:val="28"/>
        </w:rPr>
        <w:t>
      При расчете коэффициента долговой нагрузки заемщика по займам, обеспеченным залогом автотранспортного средства, размер ежемесячного платежа заемщика по займу определяется как отношение суммы задолженности к погашению (включающей сумму основного долга и начисляемого за весь период займа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займа, выраженный в месяцах.</w:t>
      </w:r>
    </w:p>
    <w:bookmarkEnd w:id="21"/>
    <w:bookmarkStart w:name="z29" w:id="22"/>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банка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22"/>
    <w:bookmarkStart w:name="z30" w:id="23"/>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28 ноября 2019 года № 215 "Об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 (зарегистрировано в Реестре государственной регистрации нормативных правовых актов под № 19670) следующие изменения:</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изложить в следующей редакции:</w:t>
      </w:r>
    </w:p>
    <w:bookmarkStart w:name="z32" w:id="24"/>
    <w:p>
      <w:pPr>
        <w:spacing w:after="0"/>
        <w:ind w:left="0"/>
        <w:jc w:val="both"/>
      </w:pPr>
      <w:r>
        <w:rPr>
          <w:rFonts w:ascii="Times New Roman"/>
          <w:b w:val="false"/>
          <w:i w:val="false"/>
          <w:color w:val="000000"/>
          <w:sz w:val="28"/>
        </w:rPr>
        <w:t>
      "3. Микрофинансовая организация осуществляет расчет коэффициента долговой нагрузки заемщика до принятия решения о (об):</w:t>
      </w:r>
    </w:p>
    <w:bookmarkEnd w:id="24"/>
    <w:bookmarkStart w:name="z33" w:id="25"/>
    <w:p>
      <w:pPr>
        <w:spacing w:after="0"/>
        <w:ind w:left="0"/>
        <w:jc w:val="both"/>
      </w:pPr>
      <w:r>
        <w:rPr>
          <w:rFonts w:ascii="Times New Roman"/>
          <w:b w:val="false"/>
          <w:i w:val="false"/>
          <w:color w:val="000000"/>
          <w:sz w:val="28"/>
        </w:rPr>
        <w:t>
      выдаче заемщику микрокредита, за исключением выдачи микрокредита (части микрокредита) в рамках открытой заемщику кредитной линии;</w:t>
      </w:r>
    </w:p>
    <w:bookmarkEnd w:id="25"/>
    <w:bookmarkStart w:name="z34" w:id="26"/>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26"/>
    <w:bookmarkStart w:name="z35" w:id="27"/>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27"/>
    <w:bookmarkStart w:name="z36" w:id="28"/>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bookmarkEnd w:id="28"/>
    <w:bookmarkStart w:name="z37" w:id="29"/>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29"/>
    <w:bookmarkStart w:name="z38" w:id="30"/>
    <w:p>
      <w:pPr>
        <w:spacing w:after="0"/>
        <w:ind w:left="0"/>
        <w:jc w:val="both"/>
      </w:pPr>
      <w:r>
        <w:rPr>
          <w:rFonts w:ascii="Times New Roman"/>
          <w:b w:val="false"/>
          <w:i w:val="false"/>
          <w:color w:val="000000"/>
          <w:sz w:val="28"/>
        </w:rPr>
        <w:t>
      Расчет коэффициента долговой нагрузки не производится при предоставлении в период с 1 апреля 2024 года по 31 декабря 2024 года включительно микрокредита для целей приобретения нового автотранспортного средства, обеспеченного залогом данного автотранспортного средства.";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40" w:id="31"/>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31"/>
    <w:bookmarkStart w:name="z41" w:id="32"/>
    <w:p>
      <w:pPr>
        <w:spacing w:after="0"/>
        <w:ind w:left="0"/>
        <w:jc w:val="both"/>
      </w:pPr>
      <w:r>
        <w:rPr>
          <w:rFonts w:ascii="Times New Roman"/>
          <w:b w:val="false"/>
          <w:i w:val="false"/>
          <w:color w:val="000000"/>
          <w:sz w:val="28"/>
        </w:rPr>
        <w:t>
      ДЗ ≥ ВПМ + 0,5 * ВПМ * Кнчс,</w:t>
      </w:r>
    </w:p>
    <w:bookmarkEnd w:id="32"/>
    <w:bookmarkStart w:name="z42" w:id="33"/>
    <w:p>
      <w:pPr>
        <w:spacing w:after="0"/>
        <w:ind w:left="0"/>
        <w:jc w:val="both"/>
      </w:pPr>
      <w:r>
        <w:rPr>
          <w:rFonts w:ascii="Times New Roman"/>
          <w:b w:val="false"/>
          <w:i w:val="false"/>
          <w:color w:val="000000"/>
          <w:sz w:val="28"/>
        </w:rPr>
        <w:t>
      где:</w:t>
      </w:r>
    </w:p>
    <w:bookmarkEnd w:id="33"/>
    <w:bookmarkStart w:name="z43" w:id="34"/>
    <w:p>
      <w:pPr>
        <w:spacing w:after="0"/>
        <w:ind w:left="0"/>
        <w:jc w:val="both"/>
      </w:pPr>
      <w:r>
        <w:rPr>
          <w:rFonts w:ascii="Times New Roman"/>
          <w:b w:val="false"/>
          <w:i w:val="false"/>
          <w:color w:val="000000"/>
          <w:sz w:val="28"/>
        </w:rPr>
        <w:t>
      ДЗ – доход заемщика;</w:t>
      </w:r>
    </w:p>
    <w:bookmarkEnd w:id="34"/>
    <w:bookmarkStart w:name="z44" w:id="35"/>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35"/>
    <w:bookmarkStart w:name="z45" w:id="36"/>
    <w:p>
      <w:pPr>
        <w:spacing w:after="0"/>
        <w:ind w:left="0"/>
        <w:jc w:val="both"/>
      </w:pPr>
      <w:r>
        <w:rPr>
          <w:rFonts w:ascii="Times New Roman"/>
          <w:b w:val="false"/>
          <w:i w:val="false"/>
          <w:color w:val="000000"/>
          <w:sz w:val="28"/>
        </w:rPr>
        <w:t>
      КНЧС – количество несовершеннолетних членов семьи.</w:t>
      </w:r>
    </w:p>
    <w:bookmarkEnd w:id="36"/>
    <w:bookmarkStart w:name="z46" w:id="37"/>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37"/>
    <w:bookmarkStart w:name="z47" w:id="38"/>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w:t>
      </w:r>
    </w:p>
    <w:bookmarkEnd w:id="38"/>
    <w:bookmarkStart w:name="z48" w:id="39"/>
    <w:p>
      <w:pPr>
        <w:spacing w:after="0"/>
        <w:ind w:left="0"/>
        <w:jc w:val="both"/>
      </w:pPr>
      <w:r>
        <w:rPr>
          <w:rFonts w:ascii="Times New Roman"/>
          <w:b w:val="false"/>
          <w:i w:val="false"/>
          <w:color w:val="000000"/>
          <w:sz w:val="28"/>
        </w:rPr>
        <w:t>
      2) среднемесячной суммы расходов по дебетовой карте за 6 (шесть) месяцев, предшествующих дате обращения заемщика;</w:t>
      </w:r>
    </w:p>
    <w:bookmarkEnd w:id="39"/>
    <w:bookmarkStart w:name="z49" w:id="40"/>
    <w:p>
      <w:pPr>
        <w:spacing w:after="0"/>
        <w:ind w:left="0"/>
        <w:jc w:val="both"/>
      </w:pPr>
      <w:r>
        <w:rPr>
          <w:rFonts w:ascii="Times New Roman"/>
          <w:b w:val="false"/>
          <w:i w:val="false"/>
          <w:color w:val="000000"/>
          <w:sz w:val="28"/>
        </w:rPr>
        <w:t>
      3) среднемесячной суммы пополнения дебетовой карты за 6 (шесть) месяцев, предшествующих дате обращения заемщика;</w:t>
      </w:r>
    </w:p>
    <w:bookmarkEnd w:id="40"/>
    <w:bookmarkStart w:name="z50" w:id="41"/>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41"/>
    <w:bookmarkStart w:name="z51" w:id="42"/>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42"/>
    <w:bookmarkStart w:name="z52" w:id="43"/>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43"/>
    <w:bookmarkStart w:name="z53" w:id="44"/>
    <w:p>
      <w:pPr>
        <w:spacing w:after="0"/>
        <w:ind w:left="0"/>
        <w:jc w:val="both"/>
      </w:pPr>
      <w:r>
        <w:rPr>
          <w:rFonts w:ascii="Times New Roman"/>
          <w:b w:val="false"/>
          <w:i w:val="false"/>
          <w:color w:val="000000"/>
          <w:sz w:val="28"/>
        </w:rPr>
        <w:t>
      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и микрокредитам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bookmarkEnd w:id="44"/>
    <w:bookmarkStart w:name="z54" w:id="45"/>
    <w:p>
      <w:pPr>
        <w:spacing w:after="0"/>
        <w:ind w:left="0"/>
        <w:jc w:val="both"/>
      </w:pPr>
      <w:r>
        <w:rPr>
          <w:rFonts w:ascii="Times New Roman"/>
          <w:b w:val="false"/>
          <w:i w:val="false"/>
          <w:color w:val="000000"/>
          <w:sz w:val="28"/>
        </w:rPr>
        <w:t>
      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45"/>
    <w:bookmarkStart w:name="z55" w:id="46"/>
    <w:p>
      <w:pPr>
        <w:spacing w:after="0"/>
        <w:ind w:left="0"/>
        <w:jc w:val="both"/>
      </w:pPr>
      <w:r>
        <w:rPr>
          <w:rFonts w:ascii="Times New Roman"/>
          <w:b w:val="false"/>
          <w:i w:val="false"/>
          <w:color w:val="000000"/>
          <w:sz w:val="28"/>
        </w:rPr>
        <w:t>
      9)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46"/>
    <w:bookmarkStart w:name="z56" w:id="47"/>
    <w:p>
      <w:pPr>
        <w:spacing w:after="0"/>
        <w:ind w:left="0"/>
        <w:jc w:val="both"/>
      </w:pPr>
      <w:r>
        <w:rPr>
          <w:rFonts w:ascii="Times New Roman"/>
          <w:b w:val="false"/>
          <w:i w:val="false"/>
          <w:color w:val="000000"/>
          <w:sz w:val="28"/>
        </w:rPr>
        <w:t>
      10)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47"/>
    <w:bookmarkStart w:name="z57" w:id="48"/>
    <w:p>
      <w:pPr>
        <w:spacing w:after="0"/>
        <w:ind w:left="0"/>
        <w:jc w:val="both"/>
      </w:pPr>
      <w:r>
        <w:rPr>
          <w:rFonts w:ascii="Times New Roman"/>
          <w:b w:val="false"/>
          <w:i w:val="false"/>
          <w:color w:val="000000"/>
          <w:sz w:val="28"/>
        </w:rPr>
        <w:t>
      Информация, указанная в подпунктах 1), 2), 3), 4), 5), 6), 7), 8), 9) и 10)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bookmarkEnd w:id="48"/>
    <w:bookmarkStart w:name="z58" w:id="49"/>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6) и 7) части второй настоящего пункта, применяется только один из указанных критериев.</w:t>
      </w:r>
    </w:p>
    <w:bookmarkEnd w:id="49"/>
    <w:bookmarkStart w:name="z59" w:id="50"/>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50"/>
    <w:bookmarkStart w:name="z60" w:id="51"/>
    <w:p>
      <w:pPr>
        <w:spacing w:after="0"/>
        <w:ind w:left="0"/>
        <w:jc w:val="both"/>
      </w:pPr>
      <w:r>
        <w:rPr>
          <w:rFonts w:ascii="Times New Roman"/>
          <w:b w:val="false"/>
          <w:i w:val="false"/>
          <w:color w:val="000000"/>
          <w:sz w:val="28"/>
        </w:rPr>
        <w:t>
      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51"/>
    <w:bookmarkStart w:name="z61" w:id="52"/>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микрофинансовой организацией на основании кредитного отчета заемщика, полученного в кредитном бюро.</w:t>
      </w:r>
    </w:p>
    <w:bookmarkEnd w:id="52"/>
    <w:bookmarkStart w:name="z62" w:id="53"/>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8) и 10) части второй настоящего пункта.</w:t>
      </w:r>
    </w:p>
    <w:bookmarkEnd w:id="53"/>
    <w:bookmarkStart w:name="z63" w:id="54"/>
    <w:p>
      <w:pPr>
        <w:spacing w:after="0"/>
        <w:ind w:left="0"/>
        <w:jc w:val="both"/>
      </w:pPr>
      <w:r>
        <w:rPr>
          <w:rFonts w:ascii="Times New Roman"/>
          <w:b w:val="false"/>
          <w:i w:val="false"/>
          <w:color w:val="000000"/>
          <w:sz w:val="28"/>
        </w:rPr>
        <w:t>
      7. Коэффициент долговой нагрузки заемщика рассчитывается как отношение суммы ежемесячного платежа по всем непогашенным микрокредитам, банковским займам заемщика, включая суммы просроченных платежей по всем непогашенным микрокредитам, банковским займам заемщика и среднего ежемесячного платежа по новой задолженности заемщика, возникающей в случаях, предусмотренных пунктом 3 Правил, к среднему ежемесячному доходу заемщика за последние 6 (шесть) месяцев:</w:t>
      </w:r>
    </w:p>
    <w:bookmarkEnd w:id="5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23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23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5"/>
    <w:p>
      <w:pPr>
        <w:spacing w:after="0"/>
        <w:ind w:left="0"/>
        <w:jc w:val="both"/>
      </w:pPr>
      <w:r>
        <w:rPr>
          <w:rFonts w:ascii="Times New Roman"/>
          <w:b w:val="false"/>
          <w:i w:val="false"/>
          <w:color w:val="000000"/>
          <w:sz w:val="28"/>
        </w:rPr>
        <w:t>
      где:</w:t>
      </w:r>
    </w:p>
    <w:bookmarkEnd w:id="55"/>
    <w:bookmarkStart w:name="z66" w:id="56"/>
    <w:p>
      <w:pPr>
        <w:spacing w:after="0"/>
        <w:ind w:left="0"/>
        <w:jc w:val="both"/>
      </w:pPr>
      <w:r>
        <w:rPr>
          <w:rFonts w:ascii="Times New Roman"/>
          <w:b w:val="false"/>
          <w:i w:val="false"/>
          <w:color w:val="000000"/>
          <w:sz w:val="28"/>
        </w:rPr>
        <w:t>
      КДН - коэффициент долговой нагрузки;</w:t>
      </w:r>
    </w:p>
    <w:bookmarkEnd w:id="56"/>
    <w:bookmarkStart w:name="z67" w:id="57"/>
    <w:p>
      <w:pPr>
        <w:spacing w:after="0"/>
        <w:ind w:left="0"/>
        <w:jc w:val="both"/>
      </w:pPr>
      <w:r>
        <w:rPr>
          <w:rFonts w:ascii="Times New Roman"/>
          <w:b w:val="false"/>
          <w:i w:val="false"/>
          <w:color w:val="000000"/>
          <w:sz w:val="28"/>
        </w:rPr>
        <w:t>
      ПНЗi - ежемесячный платеж по непогашенному микрокредиту, банковскому займу (непогашенным микрокредитам, банковским займам) заемщика, который рассчитывается в соответствии с пунктом 8 Правил;</w:t>
      </w:r>
    </w:p>
    <w:bookmarkEnd w:id="57"/>
    <w:bookmarkStart w:name="z68" w:id="58"/>
    <w:p>
      <w:pPr>
        <w:spacing w:after="0"/>
        <w:ind w:left="0"/>
        <w:jc w:val="both"/>
      </w:pPr>
      <w:r>
        <w:rPr>
          <w:rFonts w:ascii="Times New Roman"/>
          <w:b w:val="false"/>
          <w:i w:val="false"/>
          <w:color w:val="000000"/>
          <w:sz w:val="28"/>
        </w:rPr>
        <w:t>
      ППі - сумма просроченных платежей по непогашенному микрокредиту, банковскому займу (непогашенным микрокредитам, банковским займам) заемщика;</w:t>
      </w:r>
    </w:p>
    <w:bookmarkEnd w:id="58"/>
    <w:bookmarkStart w:name="z69" w:id="59"/>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 Правил;</w:t>
      </w:r>
    </w:p>
    <w:bookmarkEnd w:id="59"/>
    <w:bookmarkStart w:name="z70" w:id="60"/>
    <w:p>
      <w:pPr>
        <w:spacing w:after="0"/>
        <w:ind w:left="0"/>
        <w:jc w:val="both"/>
      </w:pPr>
      <w:r>
        <w:rPr>
          <w:rFonts w:ascii="Times New Roman"/>
          <w:b w:val="false"/>
          <w:i w:val="false"/>
          <w:color w:val="000000"/>
          <w:sz w:val="28"/>
        </w:rPr>
        <w:t>
      n - количество непогашенных микрокредитов, банковских займов заемщика;</w:t>
      </w:r>
    </w:p>
    <w:bookmarkEnd w:id="60"/>
    <w:bookmarkStart w:name="z71" w:id="61"/>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10 Правил.</w:t>
      </w:r>
    </w:p>
    <w:bookmarkEnd w:id="61"/>
    <w:bookmarkStart w:name="z72" w:id="62"/>
    <w:p>
      <w:pPr>
        <w:spacing w:after="0"/>
        <w:ind w:left="0"/>
        <w:jc w:val="both"/>
      </w:pPr>
      <w:r>
        <w:rPr>
          <w:rFonts w:ascii="Times New Roman"/>
          <w:b w:val="false"/>
          <w:i w:val="false"/>
          <w:color w:val="000000"/>
          <w:sz w:val="28"/>
        </w:rPr>
        <w:t>
      При расчете коэффициента долговой нагрузки заемщика по микрокредитам, обеспеченным залогом автотранспортного средства, размер ежемесячного платежа заемщика по микрокредиту определяется как отношение суммы задолженности к погашению (включающей сумму основного долга и начисляемого за весь период кредита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микрокредита, выраженный в месяцах.</w:t>
      </w:r>
    </w:p>
    <w:bookmarkEnd w:id="62"/>
    <w:bookmarkStart w:name="z73" w:id="63"/>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микрофинансовой организации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63"/>
    <w:bookmarkStart w:name="z74" w:id="64"/>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64"/>
    <w:bookmarkStart w:name="z75" w:id="6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5"/>
    <w:bookmarkStart w:name="z76" w:id="6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66"/>
    <w:bookmarkStart w:name="z77" w:id="6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7"/>
    <w:bookmarkStart w:name="z78" w:id="68"/>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8"/>
    <w:bookmarkStart w:name="z79" w:id="69"/>
    <w:p>
      <w:pPr>
        <w:spacing w:after="0"/>
        <w:ind w:left="0"/>
        <w:jc w:val="both"/>
      </w:pPr>
      <w:r>
        <w:rPr>
          <w:rFonts w:ascii="Times New Roman"/>
          <w:b w:val="false"/>
          <w:i w:val="false"/>
          <w:color w:val="000000"/>
          <w:sz w:val="28"/>
        </w:rPr>
        <w:t>
      5. Настоящее постановление вводится в действие после дня его первого официального опубликования.</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81" w:id="70"/>
      <w:r>
        <w:rPr>
          <w:rFonts w:ascii="Times New Roman"/>
          <w:b w:val="false"/>
          <w:i w:val="false"/>
          <w:color w:val="000000"/>
          <w:sz w:val="28"/>
        </w:rPr>
        <w:t>
      "СОГЛАСОВАНО"</w:t>
      </w:r>
    </w:p>
    <w:bookmarkEnd w:id="70"/>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