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1184" w14:textId="bcd1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25 июня 2024 года № 228. Зарегистрирован в Министерстве юстиции Республики Казахстан 27 июня 2024 года № 34600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"15. При проектировании населенных пунктов, формировании жилых районов, благоустройстве вновь осваиваемых и реконструируемых территорий и населенных пунктов обеспечивается доступ маломобильных групп населения к жилым, общественным и производственным зданиям, сооружениям и помещениям.</w:t>
      </w:r>
    </w:p>
    <w:bookmarkEnd w:id="3"/>
    <w:bookmarkStart w:name="z10" w:id="4"/>
    <w:p>
      <w:pPr>
        <w:spacing w:after="0"/>
        <w:ind w:left="0"/>
        <w:jc w:val="both"/>
      </w:pPr>
      <w:r>
        <w:rPr>
          <w:rFonts w:ascii="Times New Roman"/>
          <w:b w:val="false"/>
          <w:i w:val="false"/>
          <w:color w:val="000000"/>
          <w:sz w:val="28"/>
        </w:rPr>
        <w:t>
      При проектировании автомобильных стоянок, размещаемых на территории жилых и общественных зданий, предусматриваются места для личных автотранспортных средств маломобильных групп населения.</w:t>
      </w:r>
    </w:p>
    <w:bookmarkEnd w:id="4"/>
    <w:bookmarkStart w:name="z11" w:id="5"/>
    <w:p>
      <w:pPr>
        <w:spacing w:after="0"/>
        <w:ind w:left="0"/>
        <w:jc w:val="both"/>
      </w:pPr>
      <w:r>
        <w:rPr>
          <w:rFonts w:ascii="Times New Roman"/>
          <w:b w:val="false"/>
          <w:i w:val="false"/>
          <w:color w:val="000000"/>
          <w:sz w:val="28"/>
        </w:rPr>
        <w:t>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 не допускается.";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"23.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осуществляется следующими этапами:</w:t>
      </w:r>
    </w:p>
    <w:bookmarkEnd w:id="6"/>
    <w:bookmarkStart w:name="z14" w:id="7"/>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7"/>
    <w:bookmarkStart w:name="z15" w:id="8"/>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8"/>
    <w:bookmarkStart w:name="z16" w:id="9"/>
    <w:p>
      <w:pPr>
        <w:spacing w:after="0"/>
        <w:ind w:left="0"/>
        <w:jc w:val="both"/>
      </w:pPr>
      <w:r>
        <w:rPr>
          <w:rFonts w:ascii="Times New Roman"/>
          <w:b w:val="false"/>
          <w:i w:val="false"/>
          <w:color w:val="000000"/>
          <w:sz w:val="28"/>
        </w:rPr>
        <w:t>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w:t>
      </w:r>
    </w:p>
    <w:bookmarkEnd w:id="9"/>
    <w:bookmarkStart w:name="z17" w:id="10"/>
    <w:p>
      <w:pPr>
        <w:spacing w:after="0"/>
        <w:ind w:left="0"/>
        <w:jc w:val="both"/>
      </w:pPr>
      <w:r>
        <w:rPr>
          <w:rFonts w:ascii="Times New Roman"/>
          <w:b w:val="false"/>
          <w:i w:val="false"/>
          <w:color w:val="000000"/>
          <w:sz w:val="28"/>
        </w:rPr>
        <w:t>
      4) приемка и ввод в эксплуатацию построенного объекта.</w:t>
      </w:r>
    </w:p>
    <w:bookmarkEnd w:id="10"/>
    <w:bookmarkStart w:name="z18" w:id="11"/>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(в рамках одного функционального назначения) осуществляется на основании технического проекта, разработанного в соответствии с требованиями государственных нормативов в области архитектуры, градостроительства и строительства и выполненного лицами, имеющими лицензию. Получение решения МИО, проектирование и экспертиза проекта не требуется. При вводе в эксплуатацию объекта технический проект прилагается к акту приемки объекта в эксплуатацию собственником самостоятельно.";</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"28.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2"/>
    <w:bookmarkStart w:name="z21" w:id="13"/>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13"/>
    <w:bookmarkStart w:name="z22" w:id="14"/>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14"/>
    <w:bookmarkStart w:name="z23" w:id="15"/>
    <w:p>
      <w:pPr>
        <w:spacing w:after="0"/>
        <w:ind w:left="0"/>
        <w:jc w:val="both"/>
      </w:pPr>
      <w:r>
        <w:rPr>
          <w:rFonts w:ascii="Times New Roman"/>
          <w:b w:val="false"/>
          <w:i w:val="false"/>
          <w:color w:val="000000"/>
          <w:sz w:val="28"/>
        </w:rPr>
        <w:t xml:space="preserve">
      Подтверждающими документами о начале строительства для объектов первого и второго уровня ответственности являются талон о приеме уведомления о начале строительно-монтажных работ и отчеты технического надзора, формируемые в соответствии с Правилами оказания инжиниринговых услуг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 в Реестре государственной регистрации нормативных правовых актов за № 10401).</w:t>
      </w:r>
    </w:p>
    <w:bookmarkEnd w:id="15"/>
    <w:bookmarkStart w:name="z24" w:id="16"/>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xml:space="preserve">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w:t>
      </w:r>
    </w:p>
    <w:bookmarkEnd w:id="17"/>
    <w:bookmarkStart w:name="z27" w:id="18"/>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8"/>
    <w:bookmarkStart w:name="z28" w:id="19"/>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информационной системе "Единый государственный кадастр недвижимости");</w:t>
      </w:r>
    </w:p>
    <w:bookmarkEnd w:id="19"/>
    <w:bookmarkStart w:name="z29" w:id="20"/>
    <w:p>
      <w:pPr>
        <w:spacing w:after="0"/>
        <w:ind w:left="0"/>
        <w:jc w:val="both"/>
      </w:pPr>
      <w:r>
        <w:rPr>
          <w:rFonts w:ascii="Times New Roman"/>
          <w:b w:val="false"/>
          <w:i w:val="false"/>
          <w:color w:val="000000"/>
          <w:sz w:val="28"/>
        </w:rPr>
        <w:t xml:space="preserve">
      2) электронной копии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необходимости получения технических условий);</w:t>
      </w:r>
    </w:p>
    <w:bookmarkEnd w:id="20"/>
    <w:bookmarkStart w:name="z30" w:id="21"/>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21"/>
    <w:bookmarkStart w:name="z31" w:id="22"/>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2"/>
    <w:bookmarkStart w:name="z32" w:id="23"/>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23"/>
    <w:bookmarkStart w:name="z33" w:id="24"/>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24"/>
    <w:bookmarkStart w:name="z34" w:id="25"/>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информационной системе "Единый государственный кадастр недвижимости");</w:t>
      </w:r>
    </w:p>
    <w:bookmarkEnd w:id="25"/>
    <w:bookmarkStart w:name="z80" w:id="26"/>
    <w:p>
      <w:pPr>
        <w:spacing w:after="0"/>
        <w:ind w:left="0"/>
        <w:jc w:val="both"/>
      </w:pPr>
      <w:r>
        <w:rPr>
          <w:rFonts w:ascii="Times New Roman"/>
          <w:b w:val="false"/>
          <w:i w:val="false"/>
          <w:color w:val="000000"/>
          <w:sz w:val="28"/>
        </w:rPr>
        <w:t xml:space="preserve">
      5)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6"/>
    <w:bookmarkStart w:name="z35" w:id="27"/>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27"/>
    <w:bookmarkStart w:name="z36" w:id="28"/>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28"/>
    <w:bookmarkStart w:name="z37" w:id="2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9"/>
    <w:bookmarkStart w:name="z38" w:id="3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30"/>
    <w:bookmarkStart w:name="z39" w:id="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"41. Услугодатель отказывает в оказании государственной услуги 1 по следующим основаниям:</w:t>
      </w:r>
    </w:p>
    <w:bookmarkEnd w:id="32"/>
    <w:bookmarkStart w:name="z42" w:id="3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1 и (или) данных (сведений), содержащихся в них;</w:t>
      </w:r>
    </w:p>
    <w:bookmarkEnd w:id="33"/>
    <w:bookmarkStart w:name="z43" w:id="34"/>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1, требованиям, установленным настоящими Правилами;</w:t>
      </w:r>
    </w:p>
    <w:bookmarkEnd w:id="34"/>
    <w:bookmarkStart w:name="z44" w:id="35"/>
    <w:p>
      <w:pPr>
        <w:spacing w:after="0"/>
        <w:ind w:left="0"/>
        <w:jc w:val="both"/>
      </w:pPr>
      <w:r>
        <w:rPr>
          <w:rFonts w:ascii="Times New Roman"/>
          <w:b w:val="false"/>
          <w:i w:val="false"/>
          <w:color w:val="000000"/>
          <w:sz w:val="28"/>
        </w:rPr>
        <w:t>
      3) отсутствие утвержденного генерального плана, проекта детальной планировки или схемы развития и застройки населенных пунктов (кроме реконструкции (перепланировке, переоборудованию) помещений (отдельных частей) существующих зданий и сооружений);</w:t>
      </w:r>
    </w:p>
    <w:bookmarkEnd w:id="35"/>
    <w:bookmarkStart w:name="z45" w:id="36"/>
    <w:p>
      <w:pPr>
        <w:spacing w:after="0"/>
        <w:ind w:left="0"/>
        <w:jc w:val="both"/>
      </w:pPr>
      <w:r>
        <w:rPr>
          <w:rFonts w:ascii="Times New Roman"/>
          <w:b w:val="false"/>
          <w:i w:val="false"/>
          <w:color w:val="000000"/>
          <w:sz w:val="28"/>
        </w:rPr>
        <w:t>
      4)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36"/>
    <w:bookmarkStart w:name="z46" w:id="37"/>
    <w:p>
      <w:pPr>
        <w:spacing w:after="0"/>
        <w:ind w:left="0"/>
        <w:jc w:val="both"/>
      </w:pPr>
      <w:r>
        <w:rPr>
          <w:rFonts w:ascii="Times New Roman"/>
          <w:b w:val="false"/>
          <w:i w:val="false"/>
          <w:color w:val="000000"/>
          <w:sz w:val="28"/>
        </w:rPr>
        <w:t>
      Настоящее основание для отказа не применимо в случае невозможности дальнейшей реализации прав заявителя по использованию земельного участка по целевому назначению, в том числе для реконструкции (перепланировке, переоборудовании), возникшей в результате утверждения нового или внесения изменений в утвержденный генеральный план, проект детальной планировки или схему развития и застройки населенных пунктов.</w:t>
      </w:r>
    </w:p>
    <w:bookmarkEnd w:id="37"/>
    <w:bookmarkStart w:name="z47" w:id="38"/>
    <w:p>
      <w:pPr>
        <w:spacing w:after="0"/>
        <w:ind w:left="0"/>
        <w:jc w:val="both"/>
      </w:pPr>
      <w:r>
        <w:rPr>
          <w:rFonts w:ascii="Times New Roman"/>
          <w:b w:val="false"/>
          <w:i w:val="false"/>
          <w:color w:val="000000"/>
          <w:sz w:val="28"/>
        </w:rPr>
        <w:t>
      5)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p>
    <w:bookmarkEnd w:id="38"/>
    <w:bookmarkStart w:name="z48" w:id="39"/>
    <w:p>
      <w:pPr>
        <w:spacing w:after="0"/>
        <w:ind w:left="0"/>
        <w:jc w:val="both"/>
      </w:pPr>
      <w:r>
        <w:rPr>
          <w:rFonts w:ascii="Times New Roman"/>
          <w:b w:val="false"/>
          <w:i w:val="false"/>
          <w:color w:val="000000"/>
          <w:sz w:val="28"/>
        </w:rPr>
        <w:t xml:space="preserve">
      6)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39"/>
    <w:bookmarkStart w:name="z49" w:id="40"/>
    <w:p>
      <w:pPr>
        <w:spacing w:after="0"/>
        <w:ind w:left="0"/>
        <w:jc w:val="both"/>
      </w:pPr>
      <w:r>
        <w:rPr>
          <w:rFonts w:ascii="Times New Roman"/>
          <w:b w:val="false"/>
          <w:i w:val="false"/>
          <w:color w:val="000000"/>
          <w:sz w:val="28"/>
        </w:rPr>
        <w:t xml:space="preserve">
      7) технический проект, выполненный лицами, имеющими лицензии, не соответствует составу и содержанию, изложенному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40"/>
    <w:bookmarkStart w:name="z50" w:id="41"/>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41"/>
    <w:bookmarkStart w:name="z51" w:id="42"/>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42"/>
    <w:bookmarkStart w:name="z52" w:id="43"/>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54" w:id="4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44"/>
    <w:bookmarkStart w:name="z55"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6" w:id="4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6"/>
    <w:bookmarkStart w:name="z57"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47"/>
    <w:bookmarkStart w:name="z58" w:id="4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60"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"Предоставление исходных материалов при разработке проектов строительства и реконструкции (перепланировки и переоборудования)"</w:t>
            </w:r>
          </w:p>
          <w:p>
            <w:pPr>
              <w:spacing w:after="20"/>
              <w:ind w:left="20"/>
              <w:jc w:val="both"/>
            </w:pPr>
            <w:r>
              <w:rPr>
                <w:rFonts w:ascii="Times New Roman"/>
                <w:b w:val="false"/>
                <w:i w:val="false"/>
                <w:color w:val="000000"/>
                <w:sz w:val="20"/>
              </w:rPr>
              <w:t>(далее – Перечень)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Предоставление исходных материалов на новое строительство;</w:t>
            </w:r>
          </w:p>
          <w:p>
            <w:pPr>
              <w:spacing w:after="20"/>
              <w:ind w:left="20"/>
              <w:jc w:val="both"/>
            </w:pPr>
            <w:r>
              <w:rPr>
                <w:rFonts w:ascii="Times New Roman"/>
                <w:b w:val="false"/>
                <w:i w:val="false"/>
                <w:color w:val="000000"/>
                <w:sz w:val="20"/>
              </w:rPr>
              <w:t>2. Предоставление архитектурно-планировочного задания и технических условий на подключение к источникам инженерного и коммунального обеспечения;</w:t>
            </w:r>
          </w:p>
          <w:p>
            <w:pPr>
              <w:spacing w:after="20"/>
              <w:ind w:left="20"/>
              <w:jc w:val="both"/>
            </w:pPr>
            <w:r>
              <w:rPr>
                <w:rFonts w:ascii="Times New Roman"/>
                <w:b w:val="false"/>
                <w:i w:val="false"/>
                <w:color w:val="000000"/>
                <w:sz w:val="20"/>
              </w:rPr>
              <w:t>3.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исходных материалов на новое строительство:</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9 (девять)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 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получению исходных материалов на новое строительство (далее – пакет 1):</w:t>
            </w:r>
          </w:p>
          <w:p>
            <w:pPr>
              <w:spacing w:after="20"/>
              <w:ind w:left="20"/>
              <w:jc w:val="both"/>
            </w:pPr>
            <w:r>
              <w:rPr>
                <w:rFonts w:ascii="Times New Roman"/>
                <w:b w:val="false"/>
                <w:i w:val="false"/>
                <w:color w:val="000000"/>
                <w:sz w:val="20"/>
              </w:rPr>
              <w:t>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2) по получению АПЗ и технических условий (далее – пакет 2):</w:t>
            </w:r>
          </w:p>
          <w:p>
            <w:pPr>
              <w:spacing w:after="20"/>
              <w:ind w:left="20"/>
              <w:jc w:val="both"/>
            </w:pPr>
            <w:r>
              <w:rPr>
                <w:rFonts w:ascii="Times New Roman"/>
                <w:b w:val="false"/>
                <w:i w:val="false"/>
                <w:color w:val="000000"/>
                <w:sz w:val="20"/>
              </w:rPr>
              <w:t>электронные копии АПЗ и технических условий;</w:t>
            </w:r>
          </w:p>
          <w:p>
            <w:pPr>
              <w:spacing w:after="20"/>
              <w:ind w:left="20"/>
              <w:jc w:val="both"/>
            </w:pPr>
            <w:r>
              <w:rPr>
                <w:rFonts w:ascii="Times New Roman"/>
                <w:b w:val="false"/>
                <w:i w:val="false"/>
                <w:color w:val="000000"/>
                <w:sz w:val="20"/>
              </w:rPr>
              <w:t>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пакетам 1 и 2:</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w:t>
            </w:r>
          </w:p>
          <w:p>
            <w:pPr>
              <w:spacing w:after="20"/>
              <w:ind w:left="20"/>
              <w:jc w:val="both"/>
            </w:pPr>
            <w:r>
              <w:rPr>
                <w:rFonts w:ascii="Times New Roman"/>
                <w:b w:val="false"/>
                <w:i w:val="false"/>
                <w:color w:val="000000"/>
                <w:sz w:val="20"/>
              </w:rPr>
              <w:t>2) по пакету 3:</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электронная копия технического проекта;</w:t>
            </w:r>
          </w:p>
          <w:p>
            <w:pPr>
              <w:spacing w:after="20"/>
              <w:ind w:left="20"/>
              <w:jc w:val="both"/>
            </w:pP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67" w:id="50"/>
    <w:p>
      <w:pPr>
        <w:spacing w:after="0"/>
        <w:ind w:left="0"/>
        <w:jc w:val="left"/>
      </w:pPr>
      <w:r>
        <w:rPr>
          <w:rFonts w:ascii="Times New Roman"/>
          <w:b/>
          <w:i w:val="false"/>
          <w:color w:val="000000"/>
        </w:rPr>
        <w:t xml:space="preserve"> Жобалауға арналған сәулет-жоспарлау тапсырмасы (СЖТ)</w:t>
      </w:r>
      <w:r>
        <w:br/>
      </w:r>
      <w:r>
        <w:rPr>
          <w:rFonts w:ascii="Times New Roman"/>
          <w:b/>
          <w:i w:val="false"/>
          <w:color w:val="000000"/>
        </w:rPr>
        <w:t>Архитектурно – планировочное задание на проектирование (АПЗ)</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от "__" ______ 20__ года</w:t>
            </w:r>
            <w:r>
              <w:br/>
            </w:r>
            <w:r>
              <w:rPr>
                <w:rFonts w:ascii="Times New Roman"/>
                <w:b w:val="false"/>
                <w:i w:val="false"/>
                <w:color w:val="000000"/>
                <w:sz w:val="20"/>
              </w:rPr>
              <w:t>№ __ 20__ жылғы "__" _______</w:t>
            </w:r>
          </w:p>
        </w:tc>
      </w:tr>
    </w:tbl>
    <w:p>
      <w:pPr>
        <w:spacing w:after="0"/>
        <w:ind w:left="0"/>
        <w:jc w:val="both"/>
      </w:pPr>
      <w:bookmarkStart w:name="z69" w:id="51"/>
      <w:r>
        <w:rPr>
          <w:rFonts w:ascii="Times New Roman"/>
          <w:b w:val="false"/>
          <w:i w:val="false"/>
          <w:color w:val="000000"/>
          <w:sz w:val="28"/>
        </w:rPr>
        <w:t>
      Объектінің бірегей нөмірі:</w:t>
      </w:r>
    </w:p>
    <w:bookmarkEnd w:id="51"/>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Уникальный номер объекта:</w:t>
      </w:r>
    </w:p>
    <w:p>
      <w:pPr>
        <w:spacing w:after="0"/>
        <w:ind w:left="0"/>
        <w:jc w:val="both"/>
      </w:pPr>
      <w:r>
        <w:rPr>
          <w:rFonts w:ascii="Times New Roman"/>
          <w:b w:val="false"/>
          <w:i w:val="false"/>
          <w:color w:val="000000"/>
          <w:sz w:val="28"/>
        </w:rPr>
        <w:t>Объектінің атауы: 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Объектінің мекенжайы 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Қала (елді мекен), жыл 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w:t>
            </w:r>
          </w:p>
          <w:p>
            <w:pPr>
              <w:spacing w:after="20"/>
              <w:ind w:left="20"/>
              <w:jc w:val="both"/>
            </w:pPr>
            <w:r>
              <w:rPr>
                <w:rFonts w:ascii="Times New Roman"/>
                <w:b w:val="false"/>
                <w:i w:val="false"/>
                <w:color w:val="000000"/>
                <w:sz w:val="20"/>
              </w:rPr>
              <w:t>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w:t>
            </w:r>
          </w:p>
          <w:p>
            <w:pPr>
              <w:spacing w:after="20"/>
              <w:ind w:left="20"/>
              <w:jc w:val="both"/>
            </w:pPr>
            <w:r>
              <w:rPr>
                <w:rFonts w:ascii="Times New Roman"/>
                <w:b w:val="false"/>
                <w:i w:val="false"/>
                <w:color w:val="000000"/>
                <w:sz w:val="20"/>
              </w:rPr>
              <w:t>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w:t>
            </w:r>
          </w:p>
          <w:p>
            <w:pPr>
              <w:spacing w:after="20"/>
              <w:ind w:left="20"/>
              <w:jc w:val="both"/>
            </w:pPr>
            <w:r>
              <w:rPr>
                <w:rFonts w:ascii="Times New Roman"/>
                <w:b w:val="false"/>
                <w:i w:val="false"/>
                <w:color w:val="000000"/>
                <w:sz w:val="20"/>
              </w:rPr>
              <w:t>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w:t>
            </w:r>
          </w:p>
          <w:p>
            <w:pPr>
              <w:spacing w:after="20"/>
              <w:ind w:left="20"/>
              <w:jc w:val="both"/>
            </w:pPr>
            <w:r>
              <w:rPr>
                <w:rFonts w:ascii="Times New Roman"/>
                <w:b w:val="false"/>
                <w:i w:val="false"/>
                <w:color w:val="000000"/>
                <w:sz w:val="20"/>
              </w:rPr>
              <w:t>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70" w:id="52"/>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52"/>
    <w:bookmarkStart w:name="z71" w:id="53"/>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53"/>
    <w:bookmarkStart w:name="z72" w:id="54"/>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54"/>
    <w:bookmarkStart w:name="z73" w:id="55"/>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55"/>
    <w:bookmarkStart w:name="z74" w:id="56"/>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56"/>
    <w:bookmarkStart w:name="z75" w:id="57"/>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57"/>
    <w:bookmarkStart w:name="z76" w:id="58"/>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58"/>
    <w:bookmarkStart w:name="z77" w:id="59"/>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59"/>
    <w:bookmarkStart w:name="z78" w:id="60"/>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60"/>
    <w:bookmarkStart w:name="z79" w:id="61"/>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