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22e98" w14:textId="7622e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образования и науки Республики Казахстан от 27 декабря 2012 года № 570 "Об утверждении форм административных данных в рамках образовательного мониторинга"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просвещения Республики Казахстан от 29 июня 2024 года № 168. Зарегистрирован в Министерстве юстиции Республики Казахстан 29 июня 2024 года № 34684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01.01.2025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27 декабря 2012 года № 570 "Об утверждении форм административных данных в рамках образовательного мониторинга" (зарегистрирован в Реестре государственной регистрации нормативных правовых актов за № 8369)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формы административных данных Министерства просвещения Республики Казахстан в рамках образовательного мониторинга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97</w:t>
      </w:r>
      <w:r>
        <w:rPr>
          <w:rFonts w:ascii="Times New Roman"/>
          <w:b w:val="false"/>
          <w:i w:val="false"/>
          <w:color w:val="000000"/>
          <w:sz w:val="28"/>
        </w:rPr>
        <w:t>, 98 к настоящему приказу.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Организациям дошкольного, начального, основного среднего и общего среднего, специального и специализированного, дополнительного, технического и профессионального и послесреднего образования, образовательно-оздоровительным, для детей-сирот и детей, оставшихся без попечения родителей независимо от формы собственности и ведомственной принадлежности обеспечить передачу административных данных в объекты информатизации в области образования.";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98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цифровизации и автоматизации государственных услуг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просвещения Республики Казахстан после его официального опубликования;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2025 года и подлежит официальному опубликованию.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просвещения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Оспан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2024 года № 168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570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Представляется: в Департамент воспитательной работы и дополнительного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Министерства просвещения Республики Казахстан</w:t>
      </w:r>
    </w:p>
    <w:bookmarkEnd w:id="12"/>
    <w:p>
      <w:pPr>
        <w:spacing w:after="0"/>
        <w:ind w:left="0"/>
        <w:jc w:val="both"/>
      </w:pPr>
      <w:bookmarkStart w:name="z21" w:id="13"/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– ресурсе: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об образовательно-оздоровительных организациях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форма № ООО-1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___ - 20 ___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областей, 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лагеря или детского оздоровительного центра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ввода в эксплуатацию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помещений, квадратный метр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продолжения таблицы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территории, гектар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мощность, мест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Действующий или не действующий в летний период текущего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корпусов,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капитального ремонта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капитального ремонта, миллион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деятельности сезонных лагерей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деятельности круглогодичных лагерей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смен в году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дней в смене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детей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смен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дней в смене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детей в 1 смене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смен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дней в смене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детей в 1 смене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смен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дней в смене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детей в 1 смене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детей, человек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детей по льготной путевке, человек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детей по бесплатной путевке,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путевки,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охват детей,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путевки на 1 человека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льготной путевки на 1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льготной путевке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бесплатной путевке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штатных сотрудников, человек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руководителя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телефон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заместителя руководителя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телефон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персонал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6" w:id="18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об образовательно-оздоровительных организациях"</w:t>
      </w:r>
      <w:r>
        <w:br/>
      </w:r>
      <w:r>
        <w:rPr>
          <w:rFonts w:ascii="Times New Roman"/>
          <w:b/>
          <w:i w:val="false"/>
          <w:color w:val="000000"/>
        </w:rPr>
        <w:t>(Индекс: № ООО-1, периодичность-годовая)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лагеря или детского оздоровительного центра.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адрес лагеря или детского оздоровительного центра.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бизнес идентификационный номер.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указывается форма собственности.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год ввода в эксплуатацию.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общая площадь помещений, квадратный метр.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общая площадь территории, гектар.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проектная мощность, мест.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действующий или не действующий в летний период текущего году.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10-11 указывается год проведения и финансирование капитального ремонта.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количество зданий.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13-21 указывается количество смен, количество дней и охват детей в 1 смене по месяцам для сезонных лагерей.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22-24 указывается количество смен, количество дней и охват детей в 1 смене по месяцам для круглогодичных лагерей.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25-27 указывается охват детей льготными и бесплатными путевками, человек.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28 указывается категория детей по льготной путевке, человек.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29 указывается категория детей по бесплатной путевке, человек.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30-31 указывается стоимость путевки и стоимость льготной путевки на 1 человека, тысяч тенге.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32-34 указывается количество штатных сотрудников, человек.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35 указывается фамилия, имя и отчество (при наличии) руководителя.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36 указывается мобильный телефон руководителя.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37 указывается фамилия, имя и отчество заместителя руководителя.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38 указывается мобильный телефон заместителя руководителя.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