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5595" w14:textId="a595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декабря 2018 года № 1104 "Об утверждении форм местной, основной и межстрановой отчетностей по трансфертному ценообразованию и Правил их заполнения"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сентября 2024 года № 633. Зарегистрирован в Министерстве юстиции Республики Казахстан 25 сентября 2024 года № 35117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декабря 2018 года № 1104 "Об утверждении форм местной, основной и межстрановой отчетностей по трансфертному ценообразованию и Правил их заполнения" (зарегистрирован в Реестре государственной регистрации нормативных правовых актов под № 18034)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местной отчетности по трансфертному ценообразованию, утвержденную согласно приложению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местной отчетности по трансфертному ценообразованию, утвержденных согласно приложению 2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заполнения формы местной отчетности по трансфертному ценообразованию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трансфертном ценообразовании" (далее – Закон) и определяют порядок заполнения участником сделки формы местной отчетности по трансфертному ценообразованию (далее – Отчетность).";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местный субъект – участник сделки, на которого возложена обязанность по представлению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Отчетность представляется в электронном виде с уведомлением о принятии Отчетности системой органа государственных доходов, допускающей компьютерную обработку информации, посредством системы приема и обработки налоговой отчетности органа государственных доходов и заверяется электронной цифровой подписью.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программного обеспечения либо обнаружения технических ошибок в программном обеспечении органа государственных доходов, участник сделки представляет Отчетность в электронном виде посредством единой платформы приема и обработки всех обращений граждан или единой системы электронного документооборота.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Отчетности в электронном виде, участник сделки предоставляет в орган государственных доходов удостоверяющие об этом документы и заполняет Отчетность на бумажном носителе, которую предоставляет с приложением копии на электронном носителе: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получением уведомления от почтовой связи;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явочном порядке на бумажном носителе в 2 (двух) экземплярах, 1 (один) из которых возвращается участнику сделки с отметкой органа государственных доходов о принятии.";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основной отчетности по трансфертному ценообразованию, утвержденную согласно приложению 3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633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Местная отчетность по трансфертному ценообразованию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20___ год</w:t>
      </w:r>
    </w:p>
    <w:bookmarkEnd w:id="16"/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https://kgd.gov.kz/ru/content/transfertnoe-cenoobrazovanie-1-1.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013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предоставляется: в 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Предоставляют: участники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не позднее 12 месяцев,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отчетным финансовым годом</w:t>
      </w:r>
    </w:p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Местный субъект</w:t>
      </w:r>
    </w:p>
    <w:bookmarkEnd w:id="18"/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1.1. Описание структуры управления Местного субъекта и организационная структура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33" w:id="20"/>
      <w:r>
        <w:rPr>
          <w:rFonts w:ascii="Times New Roman"/>
          <w:b w:val="false"/>
          <w:i w:val="false"/>
          <w:color w:val="000000"/>
          <w:sz w:val="28"/>
        </w:rPr>
        <w:t>
      1.2. Детальное описание предпринимательской деятельности Местного субъекта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стратегии ведения бизнеса, используемой Местным субъектом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1.3. Перечень основных конкурентов Местного субъекта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Контролируемые сделки</w:t>
      </w:r>
    </w:p>
    <w:bookmarkEnd w:id="22"/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2.1. Описание категорий контролируемых сделок (например, закуп услуг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производству, приобретение товаров, предоставление услуг, займы,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финансированию и исполнению обязательств, лицензирование нематериальных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активов) и обстоятельств, в которых осуществлялись контролируемые сделки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2.2. Суммы платежей и поступлений денежных средств по каждой категории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контролируемых сделок с участием Местного субъекта (например,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поступлений по оплате за товары, услуги, работы, лицензионных платежей,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вознаграждений) в разрезе налоговых юрисдикций, в которых зарегистрированы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иностранные получатели и плательщики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2.3. Перечень взаимосвязанных сторон, являющихся сторонами в каждой категории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контролируемых сделок, с указанием взаимосвязанности между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2.4. Перечень прилагаемых копий материальных соглашений к настоящей отчетности,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заключенных Местным субъектом с взаимосвязанными сторонами, с указанием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и сторон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2.5. Функциональный анализ Местного субъекта и соответствующих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взаимосвязанных сторон в отношении каждой категорий контролируемых сделок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2.6. Метод трансфертного ценообразования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2.7. Наименование взаимосвязанной стороны, которая выбрана в качестве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проверяемой стороны, обоснование выбора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2.8. Описание допущений, сделанных для применения метода трансфертного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ценообразования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4" w:id="31"/>
      <w:r>
        <w:rPr>
          <w:rFonts w:ascii="Times New Roman"/>
          <w:b w:val="false"/>
          <w:i w:val="false"/>
          <w:color w:val="000000"/>
          <w:sz w:val="28"/>
        </w:rPr>
        <w:t>
      2.9. Обоснование причин для проведения многолетнего анализа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2.10. Перечень и описание отобранных сопоставимых неконтролируемых сделок,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методологии поиска сопоставимых данных и источника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2.11. Описание корректировок, производимых для обеспечения сопоставимости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2.12. Обоснования соответствия цен принципу "вытянутой руки"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>
      2.13. Финансовая информация, использованная для применения метода трансфертного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ценообразования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49" w:id="36"/>
      <w:r>
        <w:rPr>
          <w:rFonts w:ascii="Times New Roman"/>
          <w:b w:val="false"/>
          <w:i w:val="false"/>
          <w:color w:val="000000"/>
          <w:sz w:val="28"/>
        </w:rPr>
        <w:t>
      2.14. Сведения о прилагаемых к настоящей отчетности копиях действующих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соглашений о трансфертном ценообразовании и налоговых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Финансовая информация</w:t>
      </w:r>
    </w:p>
    <w:bookmarkEnd w:id="37"/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>
      3.1. Ежегодная финансовая отчетность Местного субъекта за отчетный финансовый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3.2. Информация об определении финансовых данных Местного субъекта на основе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его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bookmarkStart w:name="z53" w:id="40"/>
      <w:r>
        <w:rPr>
          <w:rFonts w:ascii="Times New Roman"/>
          <w:b w:val="false"/>
          <w:i w:val="false"/>
          <w:color w:val="000000"/>
          <w:sz w:val="28"/>
        </w:rPr>
        <w:t>
      3.3. Финансовые данные по сопоставимым неконтролируемым сделкам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Ответственность Местного субъекта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представления: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"___" _________ 20___года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органа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доходов __ __ __ __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отчетность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№ документа: 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почтового штемпеля: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при направлении по почте)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предпринимательства):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</w:tr>
    </w:tbl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"Местная отчетность по трансфертному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ценообразованию" приведено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Правилах заполнения местной отчетности по трансфертному ценообразованию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2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633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отчетность по трансфертному ценообразованию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20___год</w:t>
      </w:r>
    </w:p>
    <w:bookmarkEnd w:id="44"/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https://kgd.gov.kz/ru/content/transfertnoe-cenoobrazovanie-1-1.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014 ОО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предоставляется: в Комитет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Предоставляют: участники международной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в течение тридцати календарных дней со дня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участником международной группы требования от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основной отчетности.</w:t>
      </w:r>
    </w:p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Организационная структура</w:t>
      </w:r>
    </w:p>
    <w:bookmarkEnd w:id="46"/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1.1. Информация о юридической структуре и структуре собственности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(доле владения) международной группы, а также географическом расположении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(стране резидентства) компаний международной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деятельности международной группы</w:t>
      </w:r>
    </w:p>
    <w:bookmarkEnd w:id="48"/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2.1. Описание основных факторов, влияющих на прибыльность международной группы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2.2. Описание основных географических рынков реализации товаров, оказания услуг,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работ, указанных в пункте 2.3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67" w:id="51"/>
      <w:r>
        <w:rPr>
          <w:rFonts w:ascii="Times New Roman"/>
          <w:b w:val="false"/>
          <w:i w:val="false"/>
          <w:color w:val="000000"/>
          <w:sz w:val="28"/>
        </w:rPr>
        <w:t>
      2.3. Описание цепочки поставок до пяти крупнейших по размеру дохода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реализации товаров, (работ, услуг) международной группы и (или) любых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услуг, работ доход от реализации которых составил более 5% от выручки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группы в отчетном финансовом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68" w:id="52"/>
      <w:r>
        <w:rPr>
          <w:rFonts w:ascii="Times New Roman"/>
          <w:b w:val="false"/>
          <w:i w:val="false"/>
          <w:color w:val="000000"/>
          <w:sz w:val="28"/>
        </w:rPr>
        <w:t>
      2.4. Перечень и краткое описание существенных для международной группы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об оказании услуг, выполнении работ, заключенных между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группы, включая описание основных участников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групп, предоставляющих важные услуги, и политик по трансфертному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ценообразованию для распределения затрат на оказание услуг и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внутригрупповых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69" w:id="53"/>
      <w:r>
        <w:rPr>
          <w:rFonts w:ascii="Times New Roman"/>
          <w:b w:val="false"/>
          <w:i w:val="false"/>
          <w:color w:val="000000"/>
          <w:sz w:val="28"/>
        </w:rPr>
        <w:t>
      2.5. Краткий функциональный анализ, описывающий основной вклад отдельных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международной группы в создании стоимости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70" w:id="54"/>
      <w:r>
        <w:rPr>
          <w:rFonts w:ascii="Times New Roman"/>
          <w:b w:val="false"/>
          <w:i w:val="false"/>
          <w:color w:val="000000"/>
          <w:sz w:val="28"/>
        </w:rPr>
        <w:t>
      2.6. Описание существенных для международной группы сделок реструктуризации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бизнеса, поглощения и разделения, имевших место в отчетном финансовом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Нематериальные активы международной группы</w:t>
      </w:r>
    </w:p>
    <w:bookmarkEnd w:id="55"/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>
      3.1. Описание стратегии международной группы по созданию, владению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использованию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73" w:id="57"/>
      <w:r>
        <w:rPr>
          <w:rFonts w:ascii="Times New Roman"/>
          <w:b w:val="false"/>
          <w:i w:val="false"/>
          <w:color w:val="000000"/>
          <w:sz w:val="28"/>
        </w:rPr>
        <w:t>
      3.2. Перечень нематериальных активов или групп нематериальных активов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группы, существенных для международной группы для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трансфертного ценообразования, с указанием наименований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группы, которые юридически владеют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bookmarkStart w:name="z74" w:id="58"/>
      <w:r>
        <w:rPr>
          <w:rFonts w:ascii="Times New Roman"/>
          <w:b w:val="false"/>
          <w:i w:val="false"/>
          <w:color w:val="000000"/>
          <w:sz w:val="28"/>
        </w:rPr>
        <w:t>
      3.3. Перечень существенных для международной группы соглашений, заключенных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участниками международной группы, в отношении нематериальных активов,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включая соглашения о взносах на покрытие расходов, соглашения о разработке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лицензионные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75" w:id="59"/>
      <w:r>
        <w:rPr>
          <w:rFonts w:ascii="Times New Roman"/>
          <w:b w:val="false"/>
          <w:i w:val="false"/>
          <w:color w:val="000000"/>
          <w:sz w:val="28"/>
        </w:rPr>
        <w:t>
      3.4. Описание политик трансфертного ценообразования международной группы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научно-исследовательской и опытно-конструкторской работы (НИОКР)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нематериальных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bookmarkStart w:name="z76" w:id="60"/>
      <w:r>
        <w:rPr>
          <w:rFonts w:ascii="Times New Roman"/>
          <w:b w:val="false"/>
          <w:i w:val="false"/>
          <w:color w:val="000000"/>
          <w:sz w:val="28"/>
        </w:rPr>
        <w:t>
      3.5. Общее описание существенных для международной группы сделок реализации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доли участия в нематериальных активах между участниками международной группы,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имевших место в течение отчетного финансового года (при наличии),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и страны резидентства соответствующих участников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 и вознаграждений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Финансовая деятельность международной группы</w:t>
      </w:r>
    </w:p>
    <w:bookmarkEnd w:id="61"/>
    <w:p>
      <w:pPr>
        <w:spacing w:after="0"/>
        <w:ind w:left="0"/>
        <w:jc w:val="both"/>
      </w:pPr>
      <w:bookmarkStart w:name="z78" w:id="62"/>
      <w:r>
        <w:rPr>
          <w:rFonts w:ascii="Times New Roman"/>
          <w:b w:val="false"/>
          <w:i w:val="false"/>
          <w:color w:val="000000"/>
          <w:sz w:val="28"/>
        </w:rPr>
        <w:t>
      4.1 Сведения о порядке финансирования международной группы и ее основных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участников, включая сделки с займодателями, не являющимися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79" w:id="63"/>
      <w:r>
        <w:rPr>
          <w:rFonts w:ascii="Times New Roman"/>
          <w:b w:val="false"/>
          <w:i w:val="false"/>
          <w:color w:val="000000"/>
          <w:sz w:val="28"/>
        </w:rPr>
        <w:t>
      4.2. Перечень участников международной группы, осуществляющих функцию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централизованного финансирования в международной группе,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в соответствии с законодательством которого, учреждены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участники международной группы, и места эффективного управления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международной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80" w:id="64"/>
      <w:r>
        <w:rPr>
          <w:rFonts w:ascii="Times New Roman"/>
          <w:b w:val="false"/>
          <w:i w:val="false"/>
          <w:color w:val="000000"/>
          <w:sz w:val="28"/>
        </w:rPr>
        <w:t>
      4.3. Описание общих политик трансфертного ценообразования международной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группы в отношении финансовых сделок между участниками международной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Финансовая и налоговая информация международной группы</w:t>
      </w:r>
    </w:p>
    <w:bookmarkEnd w:id="65"/>
    <w:p>
      <w:pPr>
        <w:spacing w:after="0"/>
        <w:ind w:left="0"/>
        <w:jc w:val="both"/>
      </w:pPr>
      <w:bookmarkStart w:name="z82" w:id="66"/>
      <w:r>
        <w:rPr>
          <w:rFonts w:ascii="Times New Roman"/>
          <w:b w:val="false"/>
          <w:i w:val="false"/>
          <w:color w:val="000000"/>
          <w:sz w:val="28"/>
        </w:rPr>
        <w:t>
      5.1. Сведения о прилагаемой копии консолидированной финансовой отчетности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группы за отчетный финансовый год, подготовленной,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целей финансовой отчетности и (или) для внутренних управленческих,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bookmarkStart w:name="z83" w:id="67"/>
      <w:r>
        <w:rPr>
          <w:rFonts w:ascii="Times New Roman"/>
          <w:b w:val="false"/>
          <w:i w:val="false"/>
          <w:color w:val="000000"/>
          <w:sz w:val="28"/>
        </w:rPr>
        <w:t>
      5.2. Перечень и краткое описание действующих односторонних соглашений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трансфертном ценообразовании международной группы и налоговых постановлений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распределении дохода между государствами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Ответственность участника международной группы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 __ 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должностного лица, принявшего отчетность 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приема: "___" _________ 20___года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№ документа: 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почтового штемпеля: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при направлении по почте)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предпринимательства): ___________</w:t>
            </w:r>
          </w:p>
        </w:tc>
      </w:tr>
    </w:tbl>
    <w:p>
      <w:pPr>
        <w:spacing w:after="0"/>
        <w:ind w:left="0"/>
        <w:jc w:val="both"/>
      </w:pPr>
      <w:bookmarkStart w:name="z85" w:id="6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"Основная отчетность по трансфертному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ценообразованию" приведено в Правилах заполнения основной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трансфертному ценообразованию согласно приложению 4 к настоящему приказу.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