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e85d" w14:textId="dd8e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19 марта 2020 года № 30 "Об утверждении Правил передачи части золотовалютных активов Национального Банка Республики Казахстан во внешнее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сентября 2024 года № 56. Зарегистрировано в Министерстве юстиции Республики Казахстан 27 сентября 2024 года № 35131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марта 2020 года № 30 "Об утверждении Правил передачи части золотовалютных активов Национального Банка Республики Казахстан во внешнее управление" (зарегистрировано в Реестре государственной регистрации нормативных правовых актов под № 20249)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в целях повышения эффективности управления золотовалютными активами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части золотовалютных активов Национального Банка Республики Казахстан во внешнее управление,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передачи части золотовалютных активов Национального Банка Республики Казахстан во внешнее управление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Инвестиционной стратегией по управлению золотовалютными активами Национального Банка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июня 2015 года № 112 (далее – Инвестиционная стратегия по управлению золотовалютными активами), и определяют порядок передачи части золотовалютных активов Национального Банка Республики Казахстан (далее – Национальный Банк) во внешнее управление.";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альтернативные инструменты – классы активов, предназначенные для повышения доходности в долгосрочной перспективе (акции развивающихся рынков (Emerging Market equities), высокодоходные облигации (High Yield Bonds), продукты абсолютной доходности (Absolute Return), хедж-фонды (Hedge Funds), фонды хедж-фондов (Fund of Hedge Funds) и фонды фондов (Fund of Funds), частный капитал (Private Equity), частный долг (Private Credit), ценные бумаги с повышенным риском (Distressed Securities), инвестиции в недвижимость (Real Estate), инфраструктурные инвестиции (Infrastructure), прямые инвестиции (Strategic investments and co-investments);";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не определяют порядок передачи во внешнее управление активов портфеля альтернативных инструментов, а также активов портфеля развивающихся рынков золотовалютных активов в рамках программ международных финансовых организаций.".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2.Департаменту монетарных операций Национального Банка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