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d980" w14:textId="094d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работы игорного заведения, букмекерской конторы или тотализатора, приема ставок и проводимых азартных игр и (или) пари</w:t>
      </w:r>
    </w:p>
    <w:p>
      <w:pPr>
        <w:spacing w:after="0"/>
        <w:ind w:left="0"/>
        <w:jc w:val="both"/>
      </w:pPr>
      <w:r>
        <w:rPr>
          <w:rFonts w:ascii="Times New Roman"/>
          <w:b w:val="false"/>
          <w:i w:val="false"/>
          <w:color w:val="000000"/>
          <w:sz w:val="28"/>
        </w:rPr>
        <w:t>Приказ и.о. Министра туризма и спорта Республики Казахстан от 9 октября 2024 года № 175. Зарегистрирован в Министерстве юстиции Республики Казахстан 10 октября 2024 года № 35240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15 Закона Республики Казахстан "Об игорном бизнесе"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работы игорного заведения, букмекерской конторы или тотализатора, приема ставок и проводимых азартных игр и (или) пари.</w:t>
      </w:r>
    </w:p>
    <w:bookmarkEnd w:id="1"/>
    <w:bookmarkStart w:name="z6" w:id="2"/>
    <w:p>
      <w:pPr>
        <w:spacing w:after="0"/>
        <w:ind w:left="0"/>
        <w:jc w:val="both"/>
      </w:pPr>
      <w:r>
        <w:rPr>
          <w:rFonts w:ascii="Times New Roman"/>
          <w:b w:val="false"/>
          <w:i w:val="false"/>
          <w:color w:val="000000"/>
          <w:sz w:val="28"/>
        </w:rPr>
        <w:t>
      2.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туризма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туризма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туризма и 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2024 года № 175</w:t>
            </w:r>
          </w:p>
        </w:tc>
      </w:tr>
    </w:tbl>
    <w:bookmarkStart w:name="z14" w:id="8"/>
    <w:p>
      <w:pPr>
        <w:spacing w:after="0"/>
        <w:ind w:left="0"/>
        <w:jc w:val="left"/>
      </w:pPr>
      <w:r>
        <w:rPr>
          <w:rFonts w:ascii="Times New Roman"/>
          <w:b/>
          <w:i w:val="false"/>
          <w:color w:val="000000"/>
        </w:rPr>
        <w:t xml:space="preserve"> Типовые правила работы игорного заведения, букмекерской конторы или тотализатора, приема ставок и проводимых азартных игр и (или) пари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Типовые правила работы игорного заведения, букмекерской конторы или тотализатора, приема ставок и проводимых азартных игр и (или) пари (далее – Типовые правила) разработаны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15 Закона Республики Казахстан "Об игорном бизнесе" (далее – Закон) и определяют типовой порядок работы игорного заведения, букмекерской конторы или тотализатора, приема ставок и проводимых азартных игр и (или) пари.</w:t>
      </w:r>
    </w:p>
    <w:bookmarkEnd w:id="10"/>
    <w:bookmarkStart w:name="z17" w:id="11"/>
    <w:p>
      <w:pPr>
        <w:spacing w:after="0"/>
        <w:ind w:left="0"/>
        <w:jc w:val="both"/>
      </w:pPr>
      <w:r>
        <w:rPr>
          <w:rFonts w:ascii="Times New Roman"/>
          <w:b w:val="false"/>
          <w:i w:val="false"/>
          <w:color w:val="000000"/>
          <w:sz w:val="28"/>
        </w:rPr>
        <w:t>
      2. В настоящих Типовых правилах используются следующие термины и понятия:</w:t>
      </w:r>
    </w:p>
    <w:bookmarkEnd w:id="11"/>
    <w:bookmarkStart w:name="z18" w:id="12"/>
    <w:p>
      <w:pPr>
        <w:spacing w:after="0"/>
        <w:ind w:left="0"/>
        <w:jc w:val="both"/>
      </w:pPr>
      <w:r>
        <w:rPr>
          <w:rFonts w:ascii="Times New Roman"/>
          <w:b w:val="false"/>
          <w:i w:val="false"/>
          <w:color w:val="000000"/>
          <w:sz w:val="28"/>
        </w:rPr>
        <w:t>
      1) пари – основанное на риске соглашение, заключенное участниками между собой либо с организатором игорного бизнеса, на исход события, предполагающий выигрыш, в котором они не принимают участия;</w:t>
      </w:r>
    </w:p>
    <w:bookmarkEnd w:id="12"/>
    <w:bookmarkStart w:name="z19" w:id="13"/>
    <w:p>
      <w:pPr>
        <w:spacing w:after="0"/>
        <w:ind w:left="0"/>
        <w:jc w:val="both"/>
      </w:pPr>
      <w:r>
        <w:rPr>
          <w:rFonts w:ascii="Times New Roman"/>
          <w:b w:val="false"/>
          <w:i w:val="false"/>
          <w:color w:val="000000"/>
          <w:sz w:val="28"/>
        </w:rPr>
        <w:t>
      2) аккаунт участника пари (далее – аккаунт) – персональная учетная запись участника пари, открываемая организатором игорного бизнеса, осуществляющим деятельность букмекерской конторы и (или) тотализатора, посредством аппаратно-программного комплекса, при регистрации участника пари, для осуществления участником пари ставок и иных операций, необходимых для участия в пари и получения выигрышей, а также для учета информации о каждом участнике пари, передаваемых участником пари денег, принятых ставках на пари (в том числе электронных), коэффициентах на варианты исхода пари, выигрышах и выплатах по ним;</w:t>
      </w:r>
    </w:p>
    <w:bookmarkEnd w:id="13"/>
    <w:bookmarkStart w:name="z20" w:id="14"/>
    <w:p>
      <w:pPr>
        <w:spacing w:after="0"/>
        <w:ind w:left="0"/>
        <w:jc w:val="both"/>
      </w:pPr>
      <w:r>
        <w:rPr>
          <w:rFonts w:ascii="Times New Roman"/>
          <w:b w:val="false"/>
          <w:i w:val="false"/>
          <w:color w:val="000000"/>
          <w:sz w:val="28"/>
        </w:rPr>
        <w:t>
      3) бенефициарный собственник – физическое лицо:</w:t>
      </w:r>
    </w:p>
    <w:bookmarkEnd w:id="14"/>
    <w:bookmarkStart w:name="z21" w:id="15"/>
    <w:p>
      <w:pPr>
        <w:spacing w:after="0"/>
        <w:ind w:left="0"/>
        <w:jc w:val="both"/>
      </w:pPr>
      <w:r>
        <w:rPr>
          <w:rFonts w:ascii="Times New Roman"/>
          <w:b w:val="false"/>
          <w:i w:val="false"/>
          <w:color w:val="000000"/>
          <w:sz w:val="28"/>
        </w:rPr>
        <w:t>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 или иностранной структуры без образования юридического лица;</w:t>
      </w:r>
    </w:p>
    <w:bookmarkEnd w:id="15"/>
    <w:bookmarkStart w:name="z22" w:id="16"/>
    <w:p>
      <w:pPr>
        <w:spacing w:after="0"/>
        <w:ind w:left="0"/>
        <w:jc w:val="both"/>
      </w:pPr>
      <w:r>
        <w:rPr>
          <w:rFonts w:ascii="Times New Roman"/>
          <w:b w:val="false"/>
          <w:i w:val="false"/>
          <w:color w:val="000000"/>
          <w:sz w:val="28"/>
        </w:rPr>
        <w:t>
      осуществляющее контроль над юридическим лицом или иностранной структурой без образования юридического лица иным образом;</w:t>
      </w:r>
    </w:p>
    <w:bookmarkEnd w:id="16"/>
    <w:bookmarkStart w:name="z23" w:id="17"/>
    <w:p>
      <w:pPr>
        <w:spacing w:after="0"/>
        <w:ind w:left="0"/>
        <w:jc w:val="both"/>
      </w:pPr>
      <w:r>
        <w:rPr>
          <w:rFonts w:ascii="Times New Roman"/>
          <w:b w:val="false"/>
          <w:i w:val="false"/>
          <w:color w:val="000000"/>
          <w:sz w:val="28"/>
        </w:rPr>
        <w:t>
      в интересах которого юридическим лицом или иностранной структурой без образования юридического лица совершаются операции с деньгами и (или) иным имуществом;</w:t>
      </w:r>
    </w:p>
    <w:bookmarkEnd w:id="17"/>
    <w:bookmarkStart w:name="z24" w:id="18"/>
    <w:p>
      <w:pPr>
        <w:spacing w:after="0"/>
        <w:ind w:left="0"/>
        <w:jc w:val="both"/>
      </w:pPr>
      <w:r>
        <w:rPr>
          <w:rFonts w:ascii="Times New Roman"/>
          <w:b w:val="false"/>
          <w:i w:val="false"/>
          <w:color w:val="000000"/>
          <w:sz w:val="28"/>
        </w:rPr>
        <w:t>
      4) букмекерская контора – организатор игорного бизнеса, заключающий пари с участниками;</w:t>
      </w:r>
    </w:p>
    <w:bookmarkEnd w:id="18"/>
    <w:bookmarkStart w:name="z25" w:id="19"/>
    <w:p>
      <w:pPr>
        <w:spacing w:after="0"/>
        <w:ind w:left="0"/>
        <w:jc w:val="both"/>
      </w:pPr>
      <w:r>
        <w:rPr>
          <w:rFonts w:ascii="Times New Roman"/>
          <w:b w:val="false"/>
          <w:i w:val="false"/>
          <w:color w:val="000000"/>
          <w:sz w:val="28"/>
        </w:rPr>
        <w:t>
      5) легитимационные знаки – фишки, жетоны определенного номинала и (или) электронные носители, заменяющие наличные деньги и используемые в игорных заведениях для участия в азартных играх в порядке, определенном правилами организатора игорного бизнеса;</w:t>
      </w:r>
    </w:p>
    <w:bookmarkEnd w:id="19"/>
    <w:bookmarkStart w:name="z26" w:id="20"/>
    <w:p>
      <w:pPr>
        <w:spacing w:after="0"/>
        <w:ind w:left="0"/>
        <w:jc w:val="both"/>
      </w:pPr>
      <w:r>
        <w:rPr>
          <w:rFonts w:ascii="Times New Roman"/>
          <w:b w:val="false"/>
          <w:i w:val="false"/>
          <w:color w:val="000000"/>
          <w:sz w:val="28"/>
        </w:rPr>
        <w:t>
      6) казино – игорное заведение, в котором для организации и проведения азартных игр используются игровые столы;</w:t>
      </w:r>
    </w:p>
    <w:bookmarkEnd w:id="20"/>
    <w:bookmarkStart w:name="z27" w:id="21"/>
    <w:p>
      <w:pPr>
        <w:spacing w:after="0"/>
        <w:ind w:left="0"/>
        <w:jc w:val="both"/>
      </w:pPr>
      <w:r>
        <w:rPr>
          <w:rFonts w:ascii="Times New Roman"/>
          <w:b w:val="false"/>
          <w:i w:val="false"/>
          <w:color w:val="000000"/>
          <w:sz w:val="28"/>
        </w:rPr>
        <w:t>
      7) касса казино или зала игровых автоматов – место в игорном заведении, специально оборудованное организатором игорного бизнеса, где осуществляются операции с деньгами, а также выдача и (или) возврат легитимационных знаков;</w:t>
      </w:r>
    </w:p>
    <w:bookmarkEnd w:id="21"/>
    <w:bookmarkStart w:name="z28" w:id="22"/>
    <w:p>
      <w:pPr>
        <w:spacing w:after="0"/>
        <w:ind w:left="0"/>
        <w:jc w:val="both"/>
      </w:pPr>
      <w:r>
        <w:rPr>
          <w:rFonts w:ascii="Times New Roman"/>
          <w:b w:val="false"/>
          <w:i w:val="false"/>
          <w:color w:val="000000"/>
          <w:sz w:val="28"/>
        </w:rPr>
        <w:t>
      8) азартная игра – основанное на риске соглашение, предполагающее выигрыш, заключенное участниками между собой либо с организатором игорного бизнеса на исход события, в котором указанные лица принимают участие;</w:t>
      </w:r>
    </w:p>
    <w:bookmarkEnd w:id="22"/>
    <w:bookmarkStart w:name="z29" w:id="23"/>
    <w:p>
      <w:pPr>
        <w:spacing w:after="0"/>
        <w:ind w:left="0"/>
        <w:jc w:val="both"/>
      </w:pPr>
      <w:r>
        <w:rPr>
          <w:rFonts w:ascii="Times New Roman"/>
          <w:b w:val="false"/>
          <w:i w:val="false"/>
          <w:color w:val="000000"/>
          <w:sz w:val="28"/>
        </w:rPr>
        <w:t>
      9) участник азартной игры и (или) пари – физическое лицо, принимающее участие в азартной игре и (или) пари;</w:t>
      </w:r>
    </w:p>
    <w:bookmarkEnd w:id="23"/>
    <w:bookmarkStart w:name="z30" w:id="24"/>
    <w:p>
      <w:pPr>
        <w:spacing w:after="0"/>
        <w:ind w:left="0"/>
        <w:jc w:val="both"/>
      </w:pPr>
      <w:r>
        <w:rPr>
          <w:rFonts w:ascii="Times New Roman"/>
          <w:b w:val="false"/>
          <w:i w:val="false"/>
          <w:color w:val="000000"/>
          <w:sz w:val="28"/>
        </w:rPr>
        <w:t>
      10) лицо, ограниченное в участии в азартных играх и (или) пари – физическое лицо, которое вследствие злоупотребления азартными играми и (или) пари ограничено судом в дееспособности, а также гражданин Республики Казахстан, ограничивший себя от участия в азартных играх и (или) пари;</w:t>
      </w:r>
    </w:p>
    <w:bookmarkEnd w:id="24"/>
    <w:bookmarkStart w:name="z31" w:id="25"/>
    <w:p>
      <w:pPr>
        <w:spacing w:after="0"/>
        <w:ind w:left="0"/>
        <w:jc w:val="both"/>
      </w:pPr>
      <w:r>
        <w:rPr>
          <w:rFonts w:ascii="Times New Roman"/>
          <w:b w:val="false"/>
          <w:i w:val="false"/>
          <w:color w:val="000000"/>
          <w:sz w:val="28"/>
        </w:rPr>
        <w:t>
      11) ставка – сумма денег, передаваемых участником азартной игры и (или) пари организатору игорного бизнеса и являющихся основным условием участия в азартной игре и (или) пари в соответствии с правилами, установленными организатором игорного бизнеса;</w:t>
      </w:r>
    </w:p>
    <w:bookmarkEnd w:id="25"/>
    <w:bookmarkStart w:name="z32" w:id="26"/>
    <w:p>
      <w:pPr>
        <w:spacing w:after="0"/>
        <w:ind w:left="0"/>
        <w:jc w:val="both"/>
      </w:pPr>
      <w:r>
        <w:rPr>
          <w:rFonts w:ascii="Times New Roman"/>
          <w:b w:val="false"/>
          <w:i w:val="false"/>
          <w:color w:val="000000"/>
          <w:sz w:val="28"/>
        </w:rPr>
        <w:t>
      12) игровой автомат – игорное оборудование (механическое, электрическое, электронное или иное техническое оборудование), используемое для проведения азартных игр, выигрыш которого определяется случайным образом устройством, находящимся внутри корпуса такого игорного оборудования, без участия организатора игорного бизнеса или его работников;</w:t>
      </w:r>
    </w:p>
    <w:bookmarkEnd w:id="26"/>
    <w:bookmarkStart w:name="z33" w:id="27"/>
    <w:p>
      <w:pPr>
        <w:spacing w:after="0"/>
        <w:ind w:left="0"/>
        <w:jc w:val="both"/>
      </w:pPr>
      <w:r>
        <w:rPr>
          <w:rFonts w:ascii="Times New Roman"/>
          <w:b w:val="false"/>
          <w:i w:val="false"/>
          <w:color w:val="000000"/>
          <w:sz w:val="28"/>
        </w:rPr>
        <w:t>
      13) зал игровых автоматов – игорное заведение, в котором для организации и проведения азартных игр используются только игровые автоматы;</w:t>
      </w:r>
    </w:p>
    <w:bookmarkEnd w:id="27"/>
    <w:bookmarkStart w:name="z34" w:id="28"/>
    <w:p>
      <w:pPr>
        <w:spacing w:after="0"/>
        <w:ind w:left="0"/>
        <w:jc w:val="both"/>
      </w:pPr>
      <w:r>
        <w:rPr>
          <w:rFonts w:ascii="Times New Roman"/>
          <w:b w:val="false"/>
          <w:i w:val="false"/>
          <w:color w:val="000000"/>
          <w:sz w:val="28"/>
        </w:rPr>
        <w:t>
      14) игорный бизнес – предпринимательская деятельность, связанная с организацией и проведением азартных игр и (или) пари;</w:t>
      </w:r>
    </w:p>
    <w:bookmarkEnd w:id="28"/>
    <w:bookmarkStart w:name="z35" w:id="29"/>
    <w:p>
      <w:pPr>
        <w:spacing w:after="0"/>
        <w:ind w:left="0"/>
        <w:jc w:val="both"/>
      </w:pPr>
      <w:r>
        <w:rPr>
          <w:rFonts w:ascii="Times New Roman"/>
          <w:b w:val="false"/>
          <w:i w:val="false"/>
          <w:color w:val="000000"/>
          <w:sz w:val="28"/>
        </w:rPr>
        <w:t>
      15) организатор игорного бизнеса – юридическое лицо, осуществляющее организацию и проведение азартных игр и (или) пари в соответствии с требованиями, установленными законодательством Республики Казахстан;</w:t>
      </w:r>
    </w:p>
    <w:bookmarkEnd w:id="29"/>
    <w:bookmarkStart w:name="z36" w:id="30"/>
    <w:p>
      <w:pPr>
        <w:spacing w:after="0"/>
        <w:ind w:left="0"/>
        <w:jc w:val="both"/>
      </w:pPr>
      <w:r>
        <w:rPr>
          <w:rFonts w:ascii="Times New Roman"/>
          <w:b w:val="false"/>
          <w:i w:val="false"/>
          <w:color w:val="000000"/>
          <w:sz w:val="28"/>
        </w:rPr>
        <w:t>
      16) уполномоченный орган в сфере игорного бизнеса (далее – уполномоченный орган) – государственный орган, определяемый Правительством Республики Казахстан, осуществляющий реализацию государственной политики и контроль в сфере игорного бизнеса;</w:t>
      </w:r>
    </w:p>
    <w:bookmarkEnd w:id="30"/>
    <w:bookmarkStart w:name="z37" w:id="31"/>
    <w:p>
      <w:pPr>
        <w:spacing w:after="0"/>
        <w:ind w:left="0"/>
        <w:jc w:val="both"/>
      </w:pPr>
      <w:r>
        <w:rPr>
          <w:rFonts w:ascii="Times New Roman"/>
          <w:b w:val="false"/>
          <w:i w:val="false"/>
          <w:color w:val="000000"/>
          <w:sz w:val="28"/>
        </w:rPr>
        <w:t xml:space="preserve">
      17) игорное заведение – здание, помещение, сооружение, в которых проводятся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азартные игры, предусматривающие получение выигрыша;</w:t>
      </w:r>
    </w:p>
    <w:bookmarkEnd w:id="31"/>
    <w:bookmarkStart w:name="z38" w:id="32"/>
    <w:p>
      <w:pPr>
        <w:spacing w:after="0"/>
        <w:ind w:left="0"/>
        <w:jc w:val="both"/>
      </w:pPr>
      <w:r>
        <w:rPr>
          <w:rFonts w:ascii="Times New Roman"/>
          <w:b w:val="false"/>
          <w:i w:val="false"/>
          <w:color w:val="000000"/>
          <w:sz w:val="28"/>
        </w:rPr>
        <w:t>
      18) игровая сессия – определяемый правилами организатора игорного бизнеса порядок взаимодействия участника азартной игры с организатором игорного бизнеса, завершающегося выявлением (фиксацией) выигрыша;</w:t>
      </w:r>
    </w:p>
    <w:bookmarkEnd w:id="32"/>
    <w:bookmarkStart w:name="z39" w:id="33"/>
    <w:p>
      <w:pPr>
        <w:spacing w:after="0"/>
        <w:ind w:left="0"/>
        <w:jc w:val="both"/>
      </w:pPr>
      <w:r>
        <w:rPr>
          <w:rFonts w:ascii="Times New Roman"/>
          <w:b w:val="false"/>
          <w:i w:val="false"/>
          <w:color w:val="000000"/>
          <w:sz w:val="28"/>
        </w:rPr>
        <w:t>
      19) тотализатор – организатор игорного бизнеса, оказывающий посреднические услуги при заключении пари между его участниками;</w:t>
      </w:r>
    </w:p>
    <w:bookmarkEnd w:id="33"/>
    <w:bookmarkStart w:name="z40" w:id="34"/>
    <w:p>
      <w:pPr>
        <w:spacing w:after="0"/>
        <w:ind w:left="0"/>
        <w:jc w:val="both"/>
      </w:pPr>
      <w:r>
        <w:rPr>
          <w:rFonts w:ascii="Times New Roman"/>
          <w:b w:val="false"/>
          <w:i w:val="false"/>
          <w:color w:val="000000"/>
          <w:sz w:val="28"/>
        </w:rPr>
        <w:t>
      20) касса тотализатора или букмекерской конторы – место, где осуществляются прием ставок на пари, выплата выигрыша по нему;</w:t>
      </w:r>
    </w:p>
    <w:bookmarkEnd w:id="34"/>
    <w:bookmarkStart w:name="z41" w:id="35"/>
    <w:p>
      <w:pPr>
        <w:spacing w:after="0"/>
        <w:ind w:left="0"/>
        <w:jc w:val="both"/>
      </w:pPr>
      <w:r>
        <w:rPr>
          <w:rFonts w:ascii="Times New Roman"/>
          <w:b w:val="false"/>
          <w:i w:val="false"/>
          <w:color w:val="000000"/>
          <w:sz w:val="28"/>
        </w:rPr>
        <w:t>
      21) электронная касса тотализатора или букмекерской конторы – информационная система, посредством которой осуществляется прием (учет) ставок и производятся выплаты выигрышей с использованием информационно-коммуникационных сетей;</w:t>
      </w:r>
    </w:p>
    <w:bookmarkEnd w:id="35"/>
    <w:bookmarkStart w:name="z42" w:id="36"/>
    <w:p>
      <w:pPr>
        <w:spacing w:after="0"/>
        <w:ind w:left="0"/>
        <w:jc w:val="both"/>
      </w:pPr>
      <w:r>
        <w:rPr>
          <w:rFonts w:ascii="Times New Roman"/>
          <w:b w:val="false"/>
          <w:i w:val="false"/>
          <w:color w:val="000000"/>
          <w:sz w:val="28"/>
        </w:rPr>
        <w:t>
      22) выигрыш – имущественная выгода, подлежащая обязательной выплате участнику 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w:t>
      </w:r>
    </w:p>
    <w:bookmarkEnd w:id="36"/>
    <w:bookmarkStart w:name="z43" w:id="37"/>
    <w:p>
      <w:pPr>
        <w:spacing w:after="0"/>
        <w:ind w:left="0"/>
        <w:jc w:val="left"/>
      </w:pPr>
      <w:r>
        <w:rPr>
          <w:rFonts w:ascii="Times New Roman"/>
          <w:b/>
          <w:i w:val="false"/>
          <w:color w:val="000000"/>
        </w:rPr>
        <w:t xml:space="preserve"> Глава 2. Порядок работы игорного заведения, приема ставок и проводимых азартных игр</w:t>
      </w:r>
    </w:p>
    <w:bookmarkEnd w:id="37"/>
    <w:bookmarkStart w:name="z44" w:id="38"/>
    <w:p>
      <w:pPr>
        <w:spacing w:after="0"/>
        <w:ind w:left="0"/>
        <w:jc w:val="both"/>
      </w:pPr>
      <w:r>
        <w:rPr>
          <w:rFonts w:ascii="Times New Roman"/>
          <w:b w:val="false"/>
          <w:i w:val="false"/>
          <w:color w:val="000000"/>
          <w:sz w:val="28"/>
        </w:rPr>
        <w:t xml:space="preserve">
      3. Руководитель организатора игорного бизнеса, осуществляющего деятельность казино, зала игровых автоматов, в целях установления порядка работы игорного заведения, приема ставок и проводимых азартных игр обеспечивает утверждение Правил работы игорного заведения, приема ставок и проводимых азартных игр, которые соответствуют настоящим Типовым правилам, а также содержат сведения,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15 Закона.</w:t>
      </w:r>
    </w:p>
    <w:bookmarkEnd w:id="38"/>
    <w:bookmarkStart w:name="z45" w:id="39"/>
    <w:p>
      <w:pPr>
        <w:spacing w:after="0"/>
        <w:ind w:left="0"/>
        <w:jc w:val="both"/>
      </w:pPr>
      <w:r>
        <w:rPr>
          <w:rFonts w:ascii="Times New Roman"/>
          <w:b w:val="false"/>
          <w:i w:val="false"/>
          <w:color w:val="000000"/>
          <w:sz w:val="28"/>
        </w:rPr>
        <w:t>
      4. В случае внесения изменений и дополнений в утвержденные Правила работы игорного заведения, приема ставок и проводимых азартных игр, организаторы игорного бизнеса, осуществляющие деятельность казино, зала игровых автоматов, обеспечивают их соответствие требованиям, установленным пунктом 3 настоящих Типовых правил.</w:t>
      </w:r>
    </w:p>
    <w:bookmarkEnd w:id="39"/>
    <w:bookmarkStart w:name="z46" w:id="40"/>
    <w:p>
      <w:pPr>
        <w:spacing w:after="0"/>
        <w:ind w:left="0"/>
        <w:jc w:val="both"/>
      </w:pPr>
      <w:r>
        <w:rPr>
          <w:rFonts w:ascii="Times New Roman"/>
          <w:b w:val="false"/>
          <w:i w:val="false"/>
          <w:color w:val="000000"/>
          <w:sz w:val="28"/>
        </w:rPr>
        <w:t>
      5. Правила работы игорного заведения, приема ставок и проводимых азартных игр размещаются организатором игорного бизнеса, осуществляющим деятельность казино, зала игровых автоматов на видном месте в игорном заведении, а также на главной странице интернет-ресурса организатора игорного бизнеса, осуществляющего деятельность казино, зала игровых автоматов (при наличии такового).</w:t>
      </w:r>
    </w:p>
    <w:bookmarkEnd w:id="40"/>
    <w:bookmarkStart w:name="z47" w:id="41"/>
    <w:p>
      <w:pPr>
        <w:spacing w:after="0"/>
        <w:ind w:left="0"/>
        <w:jc w:val="both"/>
      </w:pPr>
      <w:r>
        <w:rPr>
          <w:rFonts w:ascii="Times New Roman"/>
          <w:b w:val="false"/>
          <w:i w:val="false"/>
          <w:color w:val="000000"/>
          <w:sz w:val="28"/>
        </w:rPr>
        <w:t xml:space="preserve">
      6. Организаторы игорного бизнеса, осуществляющие деятельность казино, зала игровых автоматов, принимают меры по надлежащей проверке участников азартной игры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41"/>
    <w:bookmarkStart w:name="z48" w:id="42"/>
    <w:p>
      <w:pPr>
        <w:spacing w:after="0"/>
        <w:ind w:left="0"/>
        <w:jc w:val="both"/>
      </w:pPr>
      <w:r>
        <w:rPr>
          <w:rFonts w:ascii="Times New Roman"/>
          <w:b w:val="false"/>
          <w:i w:val="false"/>
          <w:color w:val="000000"/>
          <w:sz w:val="28"/>
        </w:rPr>
        <w:t>
      7. Организаторы игорного бизнеса, осуществляющие деятельность казино, зала игровых автоматов, обеспечивают идентификацию участника азартной игры.</w:t>
      </w:r>
    </w:p>
    <w:bookmarkEnd w:id="42"/>
    <w:bookmarkStart w:name="z49" w:id="43"/>
    <w:p>
      <w:pPr>
        <w:spacing w:after="0"/>
        <w:ind w:left="0"/>
        <w:jc w:val="both"/>
      </w:pPr>
      <w:r>
        <w:rPr>
          <w:rFonts w:ascii="Times New Roman"/>
          <w:b w:val="false"/>
          <w:i w:val="false"/>
          <w:color w:val="000000"/>
          <w:sz w:val="28"/>
        </w:rPr>
        <w:t xml:space="preserve">
      8. Идентификация участника азартной игры осуществляется ответственным работником организатора игорного бизнеса, осуществляющего деятельность казино, зала игровых автоматов, на основании подлинника документов, удостоверяющих личность,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6 Закона Республики Казахстан "О документах, удостоверяющих личность".</w:t>
      </w:r>
    </w:p>
    <w:bookmarkEnd w:id="43"/>
    <w:bookmarkStart w:name="z50" w:id="44"/>
    <w:p>
      <w:pPr>
        <w:spacing w:after="0"/>
        <w:ind w:left="0"/>
        <w:jc w:val="both"/>
      </w:pPr>
      <w:r>
        <w:rPr>
          <w:rFonts w:ascii="Times New Roman"/>
          <w:b w:val="false"/>
          <w:i w:val="false"/>
          <w:color w:val="000000"/>
          <w:sz w:val="28"/>
        </w:rPr>
        <w:t>
      Допускается идентификация участника азартной игры на основании документов, удостоверяющих личность, используемых и представляемых организаторам игорного бизнеса, осуществляющим деятельность казино, зала игровых автоматов, посредством сервиса цифровых документов.</w:t>
      </w:r>
    </w:p>
    <w:bookmarkEnd w:id="44"/>
    <w:bookmarkStart w:name="z51" w:id="45"/>
    <w:p>
      <w:pPr>
        <w:spacing w:after="0"/>
        <w:ind w:left="0"/>
        <w:jc w:val="both"/>
      </w:pPr>
      <w:r>
        <w:rPr>
          <w:rFonts w:ascii="Times New Roman"/>
          <w:b w:val="false"/>
          <w:i w:val="false"/>
          <w:color w:val="000000"/>
          <w:sz w:val="28"/>
        </w:rPr>
        <w:t>
      9. Организаторы игорного бизнеса, осуществляющие деятельность казино, зала игровых автоматов, обеспечивают идентификацию участника азартной игры путем внесения данных, указанных в документе, удостоверяющем личность физического лица, в форму регистрации участника азартной игры (далее – форма регистрации), определяемую организатором игорного бизнеса, осуществляющим деятельность казино, зала игровых автоматов, в Правилах работы игорного заведения, приема ставок и проводимых азартных игр.</w:t>
      </w:r>
    </w:p>
    <w:bookmarkEnd w:id="45"/>
    <w:bookmarkStart w:name="z52" w:id="46"/>
    <w:p>
      <w:pPr>
        <w:spacing w:after="0"/>
        <w:ind w:left="0"/>
        <w:jc w:val="both"/>
      </w:pPr>
      <w:r>
        <w:rPr>
          <w:rFonts w:ascii="Times New Roman"/>
          <w:b w:val="false"/>
          <w:i w:val="false"/>
          <w:color w:val="000000"/>
          <w:sz w:val="28"/>
        </w:rPr>
        <w:t>
      Форма регистрации представляет собой документ в бумажном и (или) файл в электронном виде, который заполняется для идентификации участника азартной игры и позволяет зарегистрироваться соответствующему физическому лицу в игорном заведении.</w:t>
      </w:r>
    </w:p>
    <w:bookmarkEnd w:id="46"/>
    <w:bookmarkStart w:name="z53" w:id="47"/>
    <w:p>
      <w:pPr>
        <w:spacing w:after="0"/>
        <w:ind w:left="0"/>
        <w:jc w:val="both"/>
      </w:pPr>
      <w:r>
        <w:rPr>
          <w:rFonts w:ascii="Times New Roman"/>
          <w:b w:val="false"/>
          <w:i w:val="false"/>
          <w:color w:val="000000"/>
          <w:sz w:val="28"/>
        </w:rPr>
        <w:t>
      В форме регистрации для физического лица указываются:</w:t>
      </w:r>
    </w:p>
    <w:bookmarkEnd w:id="47"/>
    <w:bookmarkStart w:name="z54" w:id="48"/>
    <w:p>
      <w:pPr>
        <w:spacing w:after="0"/>
        <w:ind w:left="0"/>
        <w:jc w:val="both"/>
      </w:pPr>
      <w:r>
        <w:rPr>
          <w:rFonts w:ascii="Times New Roman"/>
          <w:b w:val="false"/>
          <w:i w:val="false"/>
          <w:color w:val="000000"/>
          <w:sz w:val="28"/>
        </w:rPr>
        <w:t>
      1) фамилия, имя, отчество (при наличии);</w:t>
      </w:r>
    </w:p>
    <w:bookmarkEnd w:id="48"/>
    <w:bookmarkStart w:name="z55" w:id="49"/>
    <w:p>
      <w:pPr>
        <w:spacing w:after="0"/>
        <w:ind w:left="0"/>
        <w:jc w:val="both"/>
      </w:pPr>
      <w:r>
        <w:rPr>
          <w:rFonts w:ascii="Times New Roman"/>
          <w:b w:val="false"/>
          <w:i w:val="false"/>
          <w:color w:val="000000"/>
          <w:sz w:val="28"/>
        </w:rPr>
        <w:t>
      2) гражданство (для иностранца);</w:t>
      </w:r>
    </w:p>
    <w:bookmarkEnd w:id="49"/>
    <w:bookmarkStart w:name="z56" w:id="50"/>
    <w:p>
      <w:pPr>
        <w:spacing w:after="0"/>
        <w:ind w:left="0"/>
        <w:jc w:val="both"/>
      </w:pPr>
      <w:r>
        <w:rPr>
          <w:rFonts w:ascii="Times New Roman"/>
          <w:b w:val="false"/>
          <w:i w:val="false"/>
          <w:color w:val="000000"/>
          <w:sz w:val="28"/>
        </w:rPr>
        <w:t>
      3) индивидуальный идентификационный номер (для гражданина Республики Казахстан);</w:t>
      </w:r>
    </w:p>
    <w:bookmarkEnd w:id="50"/>
    <w:bookmarkStart w:name="z57" w:id="51"/>
    <w:p>
      <w:pPr>
        <w:spacing w:after="0"/>
        <w:ind w:left="0"/>
        <w:jc w:val="both"/>
      </w:pPr>
      <w:r>
        <w:rPr>
          <w:rFonts w:ascii="Times New Roman"/>
          <w:b w:val="false"/>
          <w:i w:val="false"/>
          <w:color w:val="000000"/>
          <w:sz w:val="28"/>
        </w:rPr>
        <w:t>
      4) индивидуальный идентификационный номер, указанный в виде на жительство иностранца в Республике Казахстан, или номер заграничного паспорта (для иностранца);</w:t>
      </w:r>
    </w:p>
    <w:bookmarkEnd w:id="51"/>
    <w:bookmarkStart w:name="z58" w:id="52"/>
    <w:p>
      <w:pPr>
        <w:spacing w:after="0"/>
        <w:ind w:left="0"/>
        <w:jc w:val="both"/>
      </w:pPr>
      <w:r>
        <w:rPr>
          <w:rFonts w:ascii="Times New Roman"/>
          <w:b w:val="false"/>
          <w:i w:val="false"/>
          <w:color w:val="000000"/>
          <w:sz w:val="28"/>
        </w:rPr>
        <w:t>
      5) индивидуальный идентификационный номер, указанный в удостоверении лица без гражданства (для лица без гражданства);</w:t>
      </w:r>
    </w:p>
    <w:bookmarkEnd w:id="52"/>
    <w:bookmarkStart w:name="z59" w:id="53"/>
    <w:p>
      <w:pPr>
        <w:spacing w:after="0"/>
        <w:ind w:left="0"/>
        <w:jc w:val="both"/>
      </w:pPr>
      <w:r>
        <w:rPr>
          <w:rFonts w:ascii="Times New Roman"/>
          <w:b w:val="false"/>
          <w:i w:val="false"/>
          <w:color w:val="000000"/>
          <w:sz w:val="28"/>
        </w:rPr>
        <w:t>
      6) дата рождения;</w:t>
      </w:r>
    </w:p>
    <w:bookmarkEnd w:id="53"/>
    <w:bookmarkStart w:name="z60" w:id="54"/>
    <w:p>
      <w:pPr>
        <w:spacing w:after="0"/>
        <w:ind w:left="0"/>
        <w:jc w:val="both"/>
      </w:pPr>
      <w:r>
        <w:rPr>
          <w:rFonts w:ascii="Times New Roman"/>
          <w:b w:val="false"/>
          <w:i w:val="false"/>
          <w:color w:val="000000"/>
          <w:sz w:val="28"/>
        </w:rPr>
        <w:t>
      7) род деятельности, место работы (при наличии);</w:t>
      </w:r>
    </w:p>
    <w:bookmarkEnd w:id="54"/>
    <w:bookmarkStart w:name="z61" w:id="55"/>
    <w:p>
      <w:pPr>
        <w:spacing w:after="0"/>
        <w:ind w:left="0"/>
        <w:jc w:val="both"/>
      </w:pPr>
      <w:r>
        <w:rPr>
          <w:rFonts w:ascii="Times New Roman"/>
          <w:b w:val="false"/>
          <w:i w:val="false"/>
          <w:color w:val="000000"/>
          <w:sz w:val="28"/>
        </w:rPr>
        <w:t>
      8) личный абонентский номер сотовой связи;</w:t>
      </w:r>
    </w:p>
    <w:bookmarkEnd w:id="55"/>
    <w:bookmarkStart w:name="z62" w:id="56"/>
    <w:p>
      <w:pPr>
        <w:spacing w:after="0"/>
        <w:ind w:left="0"/>
        <w:jc w:val="both"/>
      </w:pPr>
      <w:r>
        <w:rPr>
          <w:rFonts w:ascii="Times New Roman"/>
          <w:b w:val="false"/>
          <w:i w:val="false"/>
          <w:color w:val="000000"/>
          <w:sz w:val="28"/>
        </w:rPr>
        <w:t>
      9) банковский счет, принадлежащий физическому лицу.</w:t>
      </w:r>
    </w:p>
    <w:bookmarkEnd w:id="56"/>
    <w:bookmarkStart w:name="z63" w:id="57"/>
    <w:p>
      <w:pPr>
        <w:spacing w:after="0"/>
        <w:ind w:left="0"/>
        <w:jc w:val="both"/>
      </w:pPr>
      <w:r>
        <w:rPr>
          <w:rFonts w:ascii="Times New Roman"/>
          <w:b w:val="false"/>
          <w:i w:val="false"/>
          <w:color w:val="000000"/>
          <w:sz w:val="28"/>
        </w:rPr>
        <w:t xml:space="preserve">
      10. Организаторы игорного бизнеса, осуществляющие деятельность казино, зала игровых автоматов, отказывают в допуске к участию в азартных играх физическим лицам, которым установлен запрет на участие в азартных играх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w:t>
      </w:r>
    </w:p>
    <w:bookmarkEnd w:id="57"/>
    <w:bookmarkStart w:name="z64" w:id="58"/>
    <w:p>
      <w:pPr>
        <w:spacing w:after="0"/>
        <w:ind w:left="0"/>
        <w:jc w:val="both"/>
      </w:pPr>
      <w:r>
        <w:rPr>
          <w:rFonts w:ascii="Times New Roman"/>
          <w:b w:val="false"/>
          <w:i w:val="false"/>
          <w:color w:val="000000"/>
          <w:sz w:val="28"/>
        </w:rPr>
        <w:t>
      11. При невозможности идентификации физического лица по причинам отсутствия интернета, отсутствия доступа к списку лиц, ограниченных в участии в азартных играх, Единому реестру должников, ответственный работник организатора игорного бизнеса, осуществляющего деятельность казино, зала игровых автоматов, не допускает физическое лицо к азартным играм до устранения причин невозможности идентификации физического лица.</w:t>
      </w:r>
    </w:p>
    <w:bookmarkEnd w:id="58"/>
    <w:bookmarkStart w:name="z65" w:id="59"/>
    <w:p>
      <w:pPr>
        <w:spacing w:after="0"/>
        <w:ind w:left="0"/>
        <w:jc w:val="both"/>
      </w:pPr>
      <w:r>
        <w:rPr>
          <w:rFonts w:ascii="Times New Roman"/>
          <w:b w:val="false"/>
          <w:i w:val="false"/>
          <w:color w:val="000000"/>
          <w:sz w:val="28"/>
        </w:rPr>
        <w:t>
      12. Не допускается идентификация физического лица по копиям документов, удостоверяющих личность.</w:t>
      </w:r>
    </w:p>
    <w:bookmarkEnd w:id="59"/>
    <w:bookmarkStart w:name="z66" w:id="60"/>
    <w:p>
      <w:pPr>
        <w:spacing w:after="0"/>
        <w:ind w:left="0"/>
        <w:jc w:val="both"/>
      </w:pPr>
      <w:r>
        <w:rPr>
          <w:rFonts w:ascii="Times New Roman"/>
          <w:b w:val="false"/>
          <w:i w:val="false"/>
          <w:color w:val="000000"/>
          <w:sz w:val="28"/>
        </w:rPr>
        <w:t>
      13. Отказ физического лица пройти идентификацию (регистрацию) в игорном заведении также является основанием для его недопущения к участию в азартных играх.</w:t>
      </w:r>
    </w:p>
    <w:bookmarkEnd w:id="60"/>
    <w:bookmarkStart w:name="z67" w:id="61"/>
    <w:p>
      <w:pPr>
        <w:spacing w:after="0"/>
        <w:ind w:left="0"/>
        <w:jc w:val="both"/>
      </w:pPr>
      <w:r>
        <w:rPr>
          <w:rFonts w:ascii="Times New Roman"/>
          <w:b w:val="false"/>
          <w:i w:val="false"/>
          <w:color w:val="000000"/>
          <w:sz w:val="28"/>
        </w:rPr>
        <w:t>
      14. Допуском физического лица к участию в азартных играх является выдача физическому лицу легитимационных знаков в кассе игорного заведения.</w:t>
      </w:r>
    </w:p>
    <w:bookmarkEnd w:id="61"/>
    <w:bookmarkStart w:name="z68" w:id="62"/>
    <w:p>
      <w:pPr>
        <w:spacing w:after="0"/>
        <w:ind w:left="0"/>
        <w:jc w:val="both"/>
      </w:pPr>
      <w:r>
        <w:rPr>
          <w:rFonts w:ascii="Times New Roman"/>
          <w:b w:val="false"/>
          <w:i w:val="false"/>
          <w:color w:val="000000"/>
          <w:sz w:val="28"/>
        </w:rPr>
        <w:t>
      15. Условием участия физического лица в азартных играх является допуск организатором игорного бизнеса, осуществляющим деятельность казино, зала игровых автоматов, физического лица к участию в азартных играх.</w:t>
      </w:r>
    </w:p>
    <w:bookmarkEnd w:id="62"/>
    <w:bookmarkStart w:name="z69" w:id="63"/>
    <w:p>
      <w:pPr>
        <w:spacing w:after="0"/>
        <w:ind w:left="0"/>
        <w:jc w:val="both"/>
      </w:pPr>
      <w:r>
        <w:rPr>
          <w:rFonts w:ascii="Times New Roman"/>
          <w:b w:val="false"/>
          <w:i w:val="false"/>
          <w:color w:val="000000"/>
          <w:sz w:val="28"/>
        </w:rPr>
        <w:t>
      16. Участник азартной игры делает ставку легитимационными знаками определенного номинала с учетом минимальной и максимальной ставки.</w:t>
      </w:r>
    </w:p>
    <w:bookmarkEnd w:id="63"/>
    <w:bookmarkStart w:name="z70" w:id="64"/>
    <w:p>
      <w:pPr>
        <w:spacing w:after="0"/>
        <w:ind w:left="0"/>
        <w:jc w:val="both"/>
      </w:pPr>
      <w:r>
        <w:rPr>
          <w:rFonts w:ascii="Times New Roman"/>
          <w:b w:val="false"/>
          <w:i w:val="false"/>
          <w:color w:val="000000"/>
          <w:sz w:val="28"/>
        </w:rPr>
        <w:t>
      17. Информация о минимальной и максимальной ставке, а также о максимальном выигрыше для каждого вида азартной игры определяется Правилами работы игорного заведения, приема ставок и проводимых азартных игр.</w:t>
      </w:r>
    </w:p>
    <w:bookmarkEnd w:id="64"/>
    <w:bookmarkStart w:name="z71" w:id="65"/>
    <w:p>
      <w:pPr>
        <w:spacing w:after="0"/>
        <w:ind w:left="0"/>
        <w:jc w:val="both"/>
      </w:pPr>
      <w:r>
        <w:rPr>
          <w:rFonts w:ascii="Times New Roman"/>
          <w:b w:val="false"/>
          <w:i w:val="false"/>
          <w:color w:val="000000"/>
          <w:sz w:val="28"/>
        </w:rPr>
        <w:t>
      18. Результат, при наступлении которого участнику азартной игры подлежит выплате выигрыш определяется организатором игорного бизнеса, осуществляющим деятельность казино, зала игровых автоматов, по каждому виду проводимых азартных игр и устанавливается в Правилах работы игорного заведения, приема ставок и проводимых азартных игр.</w:t>
      </w:r>
    </w:p>
    <w:bookmarkEnd w:id="65"/>
    <w:bookmarkStart w:name="z72" w:id="66"/>
    <w:p>
      <w:pPr>
        <w:spacing w:after="0"/>
        <w:ind w:left="0"/>
        <w:jc w:val="both"/>
      </w:pPr>
      <w:r>
        <w:rPr>
          <w:rFonts w:ascii="Times New Roman"/>
          <w:b w:val="false"/>
          <w:i w:val="false"/>
          <w:color w:val="000000"/>
          <w:sz w:val="28"/>
        </w:rPr>
        <w:t>
      19. Выплата выигрыша производится только на сумму предъявленных легитимационных знаков.</w:t>
      </w:r>
    </w:p>
    <w:bookmarkEnd w:id="66"/>
    <w:bookmarkStart w:name="z73" w:id="67"/>
    <w:p>
      <w:pPr>
        <w:spacing w:after="0"/>
        <w:ind w:left="0"/>
        <w:jc w:val="both"/>
      </w:pPr>
      <w:r>
        <w:rPr>
          <w:rFonts w:ascii="Times New Roman"/>
          <w:b w:val="false"/>
          <w:i w:val="false"/>
          <w:color w:val="000000"/>
          <w:sz w:val="28"/>
        </w:rPr>
        <w:t>
      20. Выплата выигрышей участникам азартных игр производится организатором игорного бизнеса, осуществляющим деятельность казино, зала игровых автоматов на основании предъявленного документа, удостоверяющего личность, в размере и сроки, которые предусмотрены Правилами работы игорного заведения, приема ставок и проводимых азартных игр, но не позднее трех календарных дней с момента подведения результатов данной азартной игры.</w:t>
      </w:r>
    </w:p>
    <w:bookmarkEnd w:id="67"/>
    <w:bookmarkStart w:name="z74" w:id="68"/>
    <w:p>
      <w:pPr>
        <w:spacing w:after="0"/>
        <w:ind w:left="0"/>
        <w:jc w:val="both"/>
      </w:pPr>
      <w:r>
        <w:rPr>
          <w:rFonts w:ascii="Times New Roman"/>
          <w:b w:val="false"/>
          <w:i w:val="false"/>
          <w:color w:val="000000"/>
          <w:sz w:val="28"/>
        </w:rPr>
        <w:t>
      21. Выигрыш подлежит выплате организатором игорного бизнеса, осуществляющим деятельность казино, зала игровых автоматов, участнику азартной игры в кассе казино, зала игровых автоматов в наличном и (или) в безналичном порядке путем перечисления организатором игорного бизнеса, осуществляющим деятельность казино, зала игровых автоматов, суммы выигрыша на банковский счет участника азартной игры.</w:t>
      </w:r>
    </w:p>
    <w:bookmarkEnd w:id="68"/>
    <w:bookmarkStart w:name="z75" w:id="69"/>
    <w:p>
      <w:pPr>
        <w:spacing w:after="0"/>
        <w:ind w:left="0"/>
        <w:jc w:val="both"/>
      </w:pPr>
      <w:r>
        <w:rPr>
          <w:rFonts w:ascii="Times New Roman"/>
          <w:b w:val="false"/>
          <w:i w:val="false"/>
          <w:color w:val="000000"/>
          <w:sz w:val="28"/>
        </w:rPr>
        <w:t>
      22. Выдача выигранного приза в виде иного имущества, кроме денег, производится в игорном заведении, в котором проводилась азартная игра в течение пяти календарных дней со дня наступления положительного результата.</w:t>
      </w:r>
    </w:p>
    <w:bookmarkEnd w:id="69"/>
    <w:bookmarkStart w:name="z76" w:id="70"/>
    <w:p>
      <w:pPr>
        <w:spacing w:after="0"/>
        <w:ind w:left="0"/>
        <w:jc w:val="left"/>
      </w:pPr>
      <w:r>
        <w:rPr>
          <w:rFonts w:ascii="Times New Roman"/>
          <w:b/>
          <w:i w:val="false"/>
          <w:color w:val="000000"/>
        </w:rPr>
        <w:t xml:space="preserve"> Глава 3. Порядок работы букмекерской конторы или тотализатора, приема ставок и проводимых пари</w:t>
      </w:r>
    </w:p>
    <w:bookmarkEnd w:id="70"/>
    <w:bookmarkStart w:name="z77" w:id="71"/>
    <w:p>
      <w:pPr>
        <w:spacing w:after="0"/>
        <w:ind w:left="0"/>
        <w:jc w:val="both"/>
      </w:pPr>
      <w:r>
        <w:rPr>
          <w:rFonts w:ascii="Times New Roman"/>
          <w:b w:val="false"/>
          <w:i w:val="false"/>
          <w:color w:val="000000"/>
          <w:sz w:val="28"/>
        </w:rPr>
        <w:t xml:space="preserve">
      23. Руководитель организатора игорного бизнеса, осуществляющего деятельность букмекерской конторы или тотализатора, в целях установления порядка работы букмекерской конторы или тотализатора, приема ставок и заключения пари, обеспечивает утверждение Правил работы букмекерской конторы или тотализатора, приема ставок и проводимых пари, которые соответствуют настоящим Типовым правилам, а также содержат сведения,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15 Закона.</w:t>
      </w:r>
    </w:p>
    <w:bookmarkEnd w:id="71"/>
    <w:bookmarkStart w:name="z78" w:id="72"/>
    <w:p>
      <w:pPr>
        <w:spacing w:after="0"/>
        <w:ind w:left="0"/>
        <w:jc w:val="both"/>
      </w:pPr>
      <w:r>
        <w:rPr>
          <w:rFonts w:ascii="Times New Roman"/>
          <w:b w:val="false"/>
          <w:i w:val="false"/>
          <w:color w:val="000000"/>
          <w:sz w:val="28"/>
        </w:rPr>
        <w:t>
      24. В случае внесения изменений и дополнений в утвержденные Правила работы букмекерской конторы или тотализатора, приема ставок и проводимых пари организаторы игорного бизнеса, осуществляющие деятельность букмекерской конторы или тотализатора, обеспечивают их соответствие требованиям, установленным пунктом 23 настоящих Типовых правил.</w:t>
      </w:r>
    </w:p>
    <w:bookmarkEnd w:id="72"/>
    <w:bookmarkStart w:name="z79" w:id="73"/>
    <w:p>
      <w:pPr>
        <w:spacing w:after="0"/>
        <w:ind w:left="0"/>
        <w:jc w:val="both"/>
      </w:pPr>
      <w:r>
        <w:rPr>
          <w:rFonts w:ascii="Times New Roman"/>
          <w:b w:val="false"/>
          <w:i w:val="false"/>
          <w:color w:val="000000"/>
          <w:sz w:val="28"/>
        </w:rPr>
        <w:t>
      25. Правила работы букмекерской конторы или тотализатора, приема ставок и проводимых пари размещаются организатором игорного бизнеса, осуществляющим деятельность букмекерской конторы или тотализатора, на видном месте в кассе букмекерской конторы и (или) тотализатора, а также на главной странице интернет-ресурса и (или) мобильного приложения (при наличии таковых) организатора игорного бизнеса, осуществляющего деятельность букмекерской конторы или тотализатора.</w:t>
      </w:r>
    </w:p>
    <w:bookmarkEnd w:id="73"/>
    <w:bookmarkStart w:name="z80" w:id="74"/>
    <w:p>
      <w:pPr>
        <w:spacing w:after="0"/>
        <w:ind w:left="0"/>
        <w:jc w:val="both"/>
      </w:pPr>
      <w:r>
        <w:rPr>
          <w:rFonts w:ascii="Times New Roman"/>
          <w:b w:val="false"/>
          <w:i w:val="false"/>
          <w:color w:val="000000"/>
          <w:sz w:val="28"/>
        </w:rPr>
        <w:t xml:space="preserve">
      26. Организаторы игорного бизнеса, осуществляющие деятельность букмекерской конторы или тотализатора, принимают меры по надлежащей проверке участников пари 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74"/>
    <w:bookmarkStart w:name="z81" w:id="75"/>
    <w:p>
      <w:pPr>
        <w:spacing w:after="0"/>
        <w:ind w:left="0"/>
        <w:jc w:val="both"/>
      </w:pPr>
      <w:r>
        <w:rPr>
          <w:rFonts w:ascii="Times New Roman"/>
          <w:b w:val="false"/>
          <w:i w:val="false"/>
          <w:color w:val="000000"/>
          <w:sz w:val="28"/>
        </w:rPr>
        <w:t>
      27. Организатор игорного бизнеса, осуществляющий деятельность букмекерской конторы или тотализатора, до принятия ставки производит регистрацию участника пари посредством аппаратно-программного комплекса путем открытия аккаунта с внесением данных, позволяющих установить личность участника пари. К таким данным относятся в том числе:</w:t>
      </w:r>
    </w:p>
    <w:bookmarkEnd w:id="75"/>
    <w:bookmarkStart w:name="z82" w:id="76"/>
    <w:p>
      <w:pPr>
        <w:spacing w:after="0"/>
        <w:ind w:left="0"/>
        <w:jc w:val="both"/>
      </w:pPr>
      <w:r>
        <w:rPr>
          <w:rFonts w:ascii="Times New Roman"/>
          <w:b w:val="false"/>
          <w:i w:val="false"/>
          <w:color w:val="000000"/>
          <w:sz w:val="28"/>
        </w:rPr>
        <w:t>
      1) фамилия, имя, отчество (при наличии);</w:t>
      </w:r>
    </w:p>
    <w:bookmarkEnd w:id="76"/>
    <w:bookmarkStart w:name="z83" w:id="77"/>
    <w:p>
      <w:pPr>
        <w:spacing w:after="0"/>
        <w:ind w:left="0"/>
        <w:jc w:val="both"/>
      </w:pPr>
      <w:r>
        <w:rPr>
          <w:rFonts w:ascii="Times New Roman"/>
          <w:b w:val="false"/>
          <w:i w:val="false"/>
          <w:color w:val="000000"/>
          <w:sz w:val="28"/>
        </w:rPr>
        <w:t>
      2) гражданство (для иностранца);</w:t>
      </w:r>
    </w:p>
    <w:bookmarkEnd w:id="77"/>
    <w:bookmarkStart w:name="z84" w:id="78"/>
    <w:p>
      <w:pPr>
        <w:spacing w:after="0"/>
        <w:ind w:left="0"/>
        <w:jc w:val="both"/>
      </w:pPr>
      <w:r>
        <w:rPr>
          <w:rFonts w:ascii="Times New Roman"/>
          <w:b w:val="false"/>
          <w:i w:val="false"/>
          <w:color w:val="000000"/>
          <w:sz w:val="28"/>
        </w:rPr>
        <w:t>
      3) индивидуальный идентификационный номер (для гражданина Республики Казахстан);</w:t>
      </w:r>
    </w:p>
    <w:bookmarkEnd w:id="78"/>
    <w:bookmarkStart w:name="z85" w:id="79"/>
    <w:p>
      <w:pPr>
        <w:spacing w:after="0"/>
        <w:ind w:left="0"/>
        <w:jc w:val="both"/>
      </w:pPr>
      <w:r>
        <w:rPr>
          <w:rFonts w:ascii="Times New Roman"/>
          <w:b w:val="false"/>
          <w:i w:val="false"/>
          <w:color w:val="000000"/>
          <w:sz w:val="28"/>
        </w:rPr>
        <w:t>
      4) индивидуальный идентификационный номер, указанный в виде на жительство иностранца в Республике Казахстан или номер заграничного паспорта (для иностранца);</w:t>
      </w:r>
    </w:p>
    <w:bookmarkEnd w:id="79"/>
    <w:bookmarkStart w:name="z86" w:id="80"/>
    <w:p>
      <w:pPr>
        <w:spacing w:after="0"/>
        <w:ind w:left="0"/>
        <w:jc w:val="both"/>
      </w:pPr>
      <w:r>
        <w:rPr>
          <w:rFonts w:ascii="Times New Roman"/>
          <w:b w:val="false"/>
          <w:i w:val="false"/>
          <w:color w:val="000000"/>
          <w:sz w:val="28"/>
        </w:rPr>
        <w:t>
      5) индивидуальный идентификационный номер, указанный в удостоверении лица без гражданства (для лица без гражданства);</w:t>
      </w:r>
    </w:p>
    <w:bookmarkEnd w:id="80"/>
    <w:bookmarkStart w:name="z87" w:id="81"/>
    <w:p>
      <w:pPr>
        <w:spacing w:after="0"/>
        <w:ind w:left="0"/>
        <w:jc w:val="both"/>
      </w:pPr>
      <w:r>
        <w:rPr>
          <w:rFonts w:ascii="Times New Roman"/>
          <w:b w:val="false"/>
          <w:i w:val="false"/>
          <w:color w:val="000000"/>
          <w:sz w:val="28"/>
        </w:rPr>
        <w:t>
      6) дата рождения;</w:t>
      </w:r>
    </w:p>
    <w:bookmarkEnd w:id="81"/>
    <w:bookmarkStart w:name="z88" w:id="82"/>
    <w:p>
      <w:pPr>
        <w:spacing w:after="0"/>
        <w:ind w:left="0"/>
        <w:jc w:val="both"/>
      </w:pPr>
      <w:r>
        <w:rPr>
          <w:rFonts w:ascii="Times New Roman"/>
          <w:b w:val="false"/>
          <w:i w:val="false"/>
          <w:color w:val="000000"/>
          <w:sz w:val="28"/>
        </w:rPr>
        <w:t>
      7) род деятельности, место работы (при наличии);</w:t>
      </w:r>
    </w:p>
    <w:bookmarkEnd w:id="82"/>
    <w:bookmarkStart w:name="z89" w:id="83"/>
    <w:p>
      <w:pPr>
        <w:spacing w:after="0"/>
        <w:ind w:left="0"/>
        <w:jc w:val="both"/>
      </w:pPr>
      <w:r>
        <w:rPr>
          <w:rFonts w:ascii="Times New Roman"/>
          <w:b w:val="false"/>
          <w:i w:val="false"/>
          <w:color w:val="000000"/>
          <w:sz w:val="28"/>
        </w:rPr>
        <w:t>
      8) личный абонентский номер сотовой связи;</w:t>
      </w:r>
    </w:p>
    <w:bookmarkEnd w:id="83"/>
    <w:bookmarkStart w:name="z90" w:id="84"/>
    <w:p>
      <w:pPr>
        <w:spacing w:after="0"/>
        <w:ind w:left="0"/>
        <w:jc w:val="both"/>
      </w:pPr>
      <w:r>
        <w:rPr>
          <w:rFonts w:ascii="Times New Roman"/>
          <w:b w:val="false"/>
          <w:i w:val="false"/>
          <w:color w:val="000000"/>
          <w:sz w:val="28"/>
        </w:rPr>
        <w:t>
      9) банковский счет, принадлежащий физическому лицу.</w:t>
      </w:r>
    </w:p>
    <w:bookmarkEnd w:id="84"/>
    <w:bookmarkStart w:name="z91" w:id="85"/>
    <w:p>
      <w:pPr>
        <w:spacing w:after="0"/>
        <w:ind w:left="0"/>
        <w:jc w:val="both"/>
      </w:pPr>
      <w:r>
        <w:rPr>
          <w:rFonts w:ascii="Times New Roman"/>
          <w:b w:val="false"/>
          <w:i w:val="false"/>
          <w:color w:val="000000"/>
          <w:sz w:val="28"/>
        </w:rPr>
        <w:t>
      28. Организаторы игорного бизнеса, осуществляющие деятельность букмекерской конторы или тотализатора, при регистрации участника пари осуществляют идентификацию участника пари путем направления текстового сообщения с кодом подтверждения на абонентский номер сотовой связи участника пари, указанный при регистрации.</w:t>
      </w:r>
    </w:p>
    <w:bookmarkEnd w:id="85"/>
    <w:bookmarkStart w:name="z92" w:id="86"/>
    <w:p>
      <w:pPr>
        <w:spacing w:after="0"/>
        <w:ind w:left="0"/>
        <w:jc w:val="both"/>
      </w:pPr>
      <w:r>
        <w:rPr>
          <w:rFonts w:ascii="Times New Roman"/>
          <w:b w:val="false"/>
          <w:i w:val="false"/>
          <w:color w:val="000000"/>
          <w:sz w:val="28"/>
        </w:rPr>
        <w:t>
      Организаторы игорного бизнеса, осуществляющие деятельность букмекерской конторы или тотализатора, при входе участника пари на свой аккаунт осуществляют идентификацию участника пари путем направления текстового сообщения с кодом подтверждения на абонентский номер сотовой связи участника пари, указанный при регистрации.</w:t>
      </w:r>
    </w:p>
    <w:bookmarkEnd w:id="86"/>
    <w:bookmarkStart w:name="z93" w:id="87"/>
    <w:p>
      <w:pPr>
        <w:spacing w:after="0"/>
        <w:ind w:left="0"/>
        <w:jc w:val="both"/>
      </w:pPr>
      <w:r>
        <w:rPr>
          <w:rFonts w:ascii="Times New Roman"/>
          <w:b w:val="false"/>
          <w:i w:val="false"/>
          <w:color w:val="000000"/>
          <w:sz w:val="28"/>
        </w:rPr>
        <w:t xml:space="preserve">
      29. Организаторы игорного бизнеса, осуществляющие деятельность букмекерской конторы или тотализатора, отказывают в допуске к участию в пари физическим лицам, которым установлен запрет на участие в пари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w:t>
      </w:r>
    </w:p>
    <w:bookmarkEnd w:id="87"/>
    <w:bookmarkStart w:name="z94" w:id="88"/>
    <w:p>
      <w:pPr>
        <w:spacing w:after="0"/>
        <w:ind w:left="0"/>
        <w:jc w:val="both"/>
      </w:pPr>
      <w:r>
        <w:rPr>
          <w:rFonts w:ascii="Times New Roman"/>
          <w:b w:val="false"/>
          <w:i w:val="false"/>
          <w:color w:val="000000"/>
          <w:sz w:val="28"/>
        </w:rPr>
        <w:t>
      30. Допуском физического лица к участию в пари является ставка, сделанная участником пари, а равно заключение пари.</w:t>
      </w:r>
    </w:p>
    <w:bookmarkEnd w:id="88"/>
    <w:bookmarkStart w:name="z95" w:id="89"/>
    <w:p>
      <w:pPr>
        <w:spacing w:after="0"/>
        <w:ind w:left="0"/>
        <w:jc w:val="both"/>
      </w:pPr>
      <w:r>
        <w:rPr>
          <w:rFonts w:ascii="Times New Roman"/>
          <w:b w:val="false"/>
          <w:i w:val="false"/>
          <w:color w:val="000000"/>
          <w:sz w:val="28"/>
        </w:rPr>
        <w:t>
      31. Условием участия физического лица в пари является допуск организатором игорного бизнеса, осуществляющим деятельность букмекерской конторы или тотализатора, физического лица к участию в пари.</w:t>
      </w:r>
    </w:p>
    <w:bookmarkEnd w:id="89"/>
    <w:bookmarkStart w:name="z96" w:id="90"/>
    <w:p>
      <w:pPr>
        <w:spacing w:after="0"/>
        <w:ind w:left="0"/>
        <w:jc w:val="both"/>
      </w:pPr>
      <w:r>
        <w:rPr>
          <w:rFonts w:ascii="Times New Roman"/>
          <w:b w:val="false"/>
          <w:i w:val="false"/>
          <w:color w:val="000000"/>
          <w:sz w:val="28"/>
        </w:rPr>
        <w:t>
      32. Организатор игорного бизнеса, осуществляющий деятельность букмекерской конторы, самостоятельно определяет события, на исход которых заключается пари.</w:t>
      </w:r>
    </w:p>
    <w:bookmarkEnd w:id="90"/>
    <w:bookmarkStart w:name="z97" w:id="91"/>
    <w:p>
      <w:pPr>
        <w:spacing w:after="0"/>
        <w:ind w:left="0"/>
        <w:jc w:val="both"/>
      </w:pPr>
      <w:r>
        <w:rPr>
          <w:rFonts w:ascii="Times New Roman"/>
          <w:b w:val="false"/>
          <w:i w:val="false"/>
          <w:color w:val="000000"/>
          <w:sz w:val="28"/>
        </w:rPr>
        <w:t>
      33. Организатор игорного бизнеса, осуществляющий деятельность букмекерской конторы, принимает ставки на основании коэффициентов, рассчитанных аппаратно-программным комплексом, и только на предстоящие реальные события, происходящие в рамках спортивных соревнований, проводимых аккредитованными спортивными федерациями или под эгидой международных спортивных организаций, федераций, комитетов.</w:t>
      </w:r>
    </w:p>
    <w:bookmarkEnd w:id="91"/>
    <w:bookmarkStart w:name="z98" w:id="92"/>
    <w:p>
      <w:pPr>
        <w:spacing w:after="0"/>
        <w:ind w:left="0"/>
        <w:jc w:val="both"/>
      </w:pPr>
      <w:r>
        <w:rPr>
          <w:rFonts w:ascii="Times New Roman"/>
          <w:b w:val="false"/>
          <w:i w:val="false"/>
          <w:color w:val="000000"/>
          <w:sz w:val="28"/>
        </w:rPr>
        <w:t>
      34. Организатор игорного бизнеса, осуществляющий деятельность тотализатора, принимает ставки на предстоящие реальные события, происходящие в рамках конно-спортивных соревнований (конных скачек, бегов) и (или) собачьих бегов.</w:t>
      </w:r>
    </w:p>
    <w:bookmarkEnd w:id="92"/>
    <w:bookmarkStart w:name="z99" w:id="93"/>
    <w:p>
      <w:pPr>
        <w:spacing w:after="0"/>
        <w:ind w:left="0"/>
        <w:jc w:val="both"/>
      </w:pPr>
      <w:r>
        <w:rPr>
          <w:rFonts w:ascii="Times New Roman"/>
          <w:b w:val="false"/>
          <w:i w:val="false"/>
          <w:color w:val="000000"/>
          <w:sz w:val="28"/>
        </w:rPr>
        <w:t xml:space="preserve">
      35. Организатор игорного бизнеса, осуществляющий деятельность букмекерской конторы или тотализатора, принимает ставки через соответствующую кассу букмекерской конторы и (или) электронную кассу букмекерской конторы или тотализатора. Букмекерская контора или тотализатор не принимает ставки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12 Закона.</w:t>
      </w:r>
    </w:p>
    <w:bookmarkEnd w:id="93"/>
    <w:bookmarkStart w:name="z100" w:id="94"/>
    <w:p>
      <w:pPr>
        <w:spacing w:after="0"/>
        <w:ind w:left="0"/>
        <w:jc w:val="both"/>
      </w:pPr>
      <w:r>
        <w:rPr>
          <w:rFonts w:ascii="Times New Roman"/>
          <w:b w:val="false"/>
          <w:i w:val="false"/>
          <w:color w:val="000000"/>
          <w:sz w:val="28"/>
        </w:rPr>
        <w:t>
      36. Организатор игорного бизнеса, осуществляющий деятельность букмекерской конторы или тотализатора, посредством аппаратно-программного комплекса и оборудования для организации и проведения пари осуществляет и обеспечивает прием, единый учет общей суммы сделанных ставок, обработку ставок участников пари и выплаты выигрыша.</w:t>
      </w:r>
    </w:p>
    <w:bookmarkEnd w:id="94"/>
    <w:bookmarkStart w:name="z101" w:id="95"/>
    <w:p>
      <w:pPr>
        <w:spacing w:after="0"/>
        <w:ind w:left="0"/>
        <w:jc w:val="both"/>
      </w:pPr>
      <w:r>
        <w:rPr>
          <w:rFonts w:ascii="Times New Roman"/>
          <w:b w:val="false"/>
          <w:i w:val="false"/>
          <w:color w:val="000000"/>
          <w:sz w:val="28"/>
        </w:rPr>
        <w:t>
      37. Участник пари пополняет свой аккаунт наличными деньгами или безналичным способом.</w:t>
      </w:r>
    </w:p>
    <w:bookmarkEnd w:id="95"/>
    <w:bookmarkStart w:name="z102" w:id="96"/>
    <w:p>
      <w:pPr>
        <w:spacing w:after="0"/>
        <w:ind w:left="0"/>
        <w:jc w:val="both"/>
      </w:pPr>
      <w:r>
        <w:rPr>
          <w:rFonts w:ascii="Times New Roman"/>
          <w:b w:val="false"/>
          <w:i w:val="false"/>
          <w:color w:val="000000"/>
          <w:sz w:val="28"/>
        </w:rPr>
        <w:t>
      38. Ставка на пари осуществляется участником пари за счет денег, внесенных в аккаунт, и (или) выигрышей.</w:t>
      </w:r>
    </w:p>
    <w:bookmarkEnd w:id="96"/>
    <w:bookmarkStart w:name="z103" w:id="97"/>
    <w:p>
      <w:pPr>
        <w:spacing w:after="0"/>
        <w:ind w:left="0"/>
        <w:jc w:val="both"/>
      </w:pPr>
      <w:r>
        <w:rPr>
          <w:rFonts w:ascii="Times New Roman"/>
          <w:b w:val="false"/>
          <w:i w:val="false"/>
          <w:color w:val="000000"/>
          <w:sz w:val="28"/>
        </w:rPr>
        <w:t>
      39. Пари заключаются до завершения события. Исключение составляют пари на события, заключенные по ходу события. Такие пари считаются действительными до окончания события.</w:t>
      </w:r>
    </w:p>
    <w:bookmarkEnd w:id="97"/>
    <w:bookmarkStart w:name="z104" w:id="98"/>
    <w:p>
      <w:pPr>
        <w:spacing w:after="0"/>
        <w:ind w:left="0"/>
        <w:jc w:val="both"/>
      </w:pPr>
      <w:r>
        <w:rPr>
          <w:rFonts w:ascii="Times New Roman"/>
          <w:b w:val="false"/>
          <w:i w:val="false"/>
          <w:color w:val="000000"/>
          <w:sz w:val="28"/>
        </w:rPr>
        <w:t>
      40. Все события будут считаться перенесенными и (или) отмененными только при наличии сведений из официальных документов организаций, проводящих спортивные соревнования, официальных интернет-ресурсов спортивных федераций, спортивных клубов и других официальных источников спортивной информации.</w:t>
      </w:r>
    </w:p>
    <w:bookmarkEnd w:id="98"/>
    <w:bookmarkStart w:name="z105" w:id="99"/>
    <w:p>
      <w:pPr>
        <w:spacing w:after="0"/>
        <w:ind w:left="0"/>
        <w:jc w:val="both"/>
      </w:pPr>
      <w:r>
        <w:rPr>
          <w:rFonts w:ascii="Times New Roman"/>
          <w:b w:val="false"/>
          <w:i w:val="false"/>
          <w:color w:val="000000"/>
          <w:sz w:val="28"/>
        </w:rPr>
        <w:t>
      41. Пари подлежит отмене, если оно заключено на произошедшее событие.</w:t>
      </w:r>
    </w:p>
    <w:bookmarkEnd w:id="99"/>
    <w:bookmarkStart w:name="z106" w:id="100"/>
    <w:p>
      <w:pPr>
        <w:spacing w:after="0"/>
        <w:ind w:left="0"/>
        <w:jc w:val="both"/>
      </w:pPr>
      <w:r>
        <w:rPr>
          <w:rFonts w:ascii="Times New Roman"/>
          <w:b w:val="false"/>
          <w:i w:val="false"/>
          <w:color w:val="000000"/>
          <w:sz w:val="28"/>
        </w:rPr>
        <w:t>
      42. Выигрышный исход события, на который участник пари сделал ставку является результатом, при наступлении которого участнику пари подлежит выплате выигрыш.</w:t>
      </w:r>
    </w:p>
    <w:bookmarkEnd w:id="100"/>
    <w:bookmarkStart w:name="z107" w:id="101"/>
    <w:p>
      <w:pPr>
        <w:spacing w:after="0"/>
        <w:ind w:left="0"/>
        <w:jc w:val="both"/>
      </w:pPr>
      <w:r>
        <w:rPr>
          <w:rFonts w:ascii="Times New Roman"/>
          <w:b w:val="false"/>
          <w:i w:val="false"/>
          <w:color w:val="000000"/>
          <w:sz w:val="28"/>
        </w:rPr>
        <w:t>
      43. Выплата выигрышей участникам пари производится букмекерской конторой или тотализатором, в размере и сроки, которые предусмотрены в Правилах работы букмекерской конторы или тотализатора, приема ставок и проводимых пари, но не позднее трех календарных дней с момента подведения результатов данного пари.</w:t>
      </w:r>
    </w:p>
    <w:bookmarkEnd w:id="101"/>
    <w:bookmarkStart w:name="z108" w:id="102"/>
    <w:p>
      <w:pPr>
        <w:spacing w:after="0"/>
        <w:ind w:left="0"/>
        <w:jc w:val="both"/>
      </w:pPr>
      <w:r>
        <w:rPr>
          <w:rFonts w:ascii="Times New Roman"/>
          <w:b w:val="false"/>
          <w:i w:val="false"/>
          <w:color w:val="000000"/>
          <w:sz w:val="28"/>
        </w:rPr>
        <w:t>
      44. Получение выигрыша безналичным способом осуществляется по реквизитам, указанным при регистрации участника пари.</w:t>
      </w:r>
    </w:p>
    <w:bookmarkEnd w:id="102"/>
    <w:bookmarkStart w:name="z109" w:id="103"/>
    <w:p>
      <w:pPr>
        <w:spacing w:after="0"/>
        <w:ind w:left="0"/>
        <w:jc w:val="left"/>
      </w:pPr>
      <w:r>
        <w:rPr>
          <w:rFonts w:ascii="Times New Roman"/>
          <w:b/>
          <w:i w:val="false"/>
          <w:color w:val="000000"/>
        </w:rPr>
        <w:t xml:space="preserve"> Глава 4. Порядок предупреждения о рисках и вреде участия в азартных играх и (или) пари, а также мерах ограничения участника азартной игры (или) пари от склонности участия в азартной игре (или) пари</w:t>
      </w:r>
    </w:p>
    <w:bookmarkEnd w:id="103"/>
    <w:bookmarkStart w:name="z110" w:id="104"/>
    <w:p>
      <w:pPr>
        <w:spacing w:after="0"/>
        <w:ind w:left="0"/>
        <w:jc w:val="both"/>
      </w:pPr>
      <w:r>
        <w:rPr>
          <w:rFonts w:ascii="Times New Roman"/>
          <w:b w:val="false"/>
          <w:i w:val="false"/>
          <w:color w:val="000000"/>
          <w:sz w:val="28"/>
        </w:rPr>
        <w:t>
      45. Организаторы игорного бизнеса, осуществляющие деятельность казино, зала игровых автоматов, букмекерской конторы или тотализатора размещают в игорном заведении, помещениях букмекерской конторы или тотализатора, кассах казино и зала игровых автоматов, кассах и электронных кассах букмекерской конторы и (или) тотализатора, на главной странице собственных интернет-ресурсов и (или) мобильных приложений (при наличии таковых) на видном месте предупреждение о рисках и вреде участия в азартных играх и (или) пари в соответствии с текстом, эскизами предупреждения о рисках и вреде участия в азартных играх и (или) пари, утверждаемыми уполномоченным органом.</w:t>
      </w:r>
    </w:p>
    <w:bookmarkEnd w:id="104"/>
    <w:bookmarkStart w:name="z111" w:id="105"/>
    <w:p>
      <w:pPr>
        <w:spacing w:after="0"/>
        <w:ind w:left="0"/>
        <w:jc w:val="both"/>
      </w:pPr>
      <w:r>
        <w:rPr>
          <w:rFonts w:ascii="Times New Roman"/>
          <w:b w:val="false"/>
          <w:i w:val="false"/>
          <w:color w:val="000000"/>
          <w:sz w:val="28"/>
        </w:rPr>
        <w:t>
      46. Предупреждение о рисках и вреде участия в азартных играх и (или) пари содержит предполагаемые негативные последствия, которые могут наступить для участников азартных игр и (или) пари.</w:t>
      </w:r>
    </w:p>
    <w:bookmarkEnd w:id="105"/>
    <w:bookmarkStart w:name="z112" w:id="106"/>
    <w:p>
      <w:pPr>
        <w:spacing w:after="0"/>
        <w:ind w:left="0"/>
        <w:jc w:val="both"/>
      </w:pPr>
      <w:r>
        <w:rPr>
          <w:rFonts w:ascii="Times New Roman"/>
          <w:b w:val="false"/>
          <w:i w:val="false"/>
          <w:color w:val="000000"/>
          <w:sz w:val="28"/>
        </w:rPr>
        <w:t>
      47. Организаторы игорного бизнеса, осуществляющие деятельность казино, зала игровых автоматов, в целях предупреждения участника азартной игры о рисках и вреде участия в азартных играх, в своей деятельности применяют инструменты ответственной игры, включая следующее:</w:t>
      </w:r>
    </w:p>
    <w:bookmarkEnd w:id="106"/>
    <w:bookmarkStart w:name="z113" w:id="107"/>
    <w:p>
      <w:pPr>
        <w:spacing w:after="0"/>
        <w:ind w:left="0"/>
        <w:jc w:val="both"/>
      </w:pPr>
      <w:r>
        <w:rPr>
          <w:rFonts w:ascii="Times New Roman"/>
          <w:b w:val="false"/>
          <w:i w:val="false"/>
          <w:color w:val="000000"/>
          <w:sz w:val="28"/>
        </w:rPr>
        <w:t>
      1) информирование при идентификации участника азартной игры о рисках и вреде участия в азартных играх;</w:t>
      </w:r>
    </w:p>
    <w:bookmarkEnd w:id="107"/>
    <w:bookmarkStart w:name="z114" w:id="108"/>
    <w:p>
      <w:pPr>
        <w:spacing w:after="0"/>
        <w:ind w:left="0"/>
        <w:jc w:val="both"/>
      </w:pPr>
      <w:r>
        <w:rPr>
          <w:rFonts w:ascii="Times New Roman"/>
          <w:b w:val="false"/>
          <w:i w:val="false"/>
          <w:color w:val="000000"/>
          <w:sz w:val="28"/>
        </w:rPr>
        <w:t>
      2) периодическая (с интервалом не более одного часа) трансляция через систему оповещения, телевизор предупреждения о рисках и вреде участия в азартных играх.</w:t>
      </w:r>
    </w:p>
    <w:bookmarkEnd w:id="108"/>
    <w:bookmarkStart w:name="z115" w:id="109"/>
    <w:p>
      <w:pPr>
        <w:spacing w:after="0"/>
        <w:ind w:left="0"/>
        <w:jc w:val="both"/>
      </w:pPr>
      <w:r>
        <w:rPr>
          <w:rFonts w:ascii="Times New Roman"/>
          <w:b w:val="false"/>
          <w:i w:val="false"/>
          <w:color w:val="000000"/>
          <w:sz w:val="28"/>
        </w:rPr>
        <w:t>
      48. Организаторы игорного бизнеса, осуществляющие деятельность букмекерской конторы или тотализатора, в целях предупреждения участника пари о рисках и вреде участия в пари, в своей деятельности применяют инструменты ответственной игры, включая следующее:</w:t>
      </w:r>
    </w:p>
    <w:bookmarkEnd w:id="109"/>
    <w:bookmarkStart w:name="z116" w:id="110"/>
    <w:p>
      <w:pPr>
        <w:spacing w:after="0"/>
        <w:ind w:left="0"/>
        <w:jc w:val="both"/>
      </w:pPr>
      <w:r>
        <w:rPr>
          <w:rFonts w:ascii="Times New Roman"/>
          <w:b w:val="false"/>
          <w:i w:val="false"/>
          <w:color w:val="000000"/>
          <w:sz w:val="28"/>
        </w:rPr>
        <w:t>
      1) уведомление при регистрации физического лица посредством аппаратно-программного комплекса о рисках и вреде участия в пари;</w:t>
      </w:r>
    </w:p>
    <w:bookmarkEnd w:id="110"/>
    <w:bookmarkStart w:name="z117" w:id="111"/>
    <w:p>
      <w:pPr>
        <w:spacing w:after="0"/>
        <w:ind w:left="0"/>
        <w:jc w:val="both"/>
      </w:pPr>
      <w:r>
        <w:rPr>
          <w:rFonts w:ascii="Times New Roman"/>
          <w:b w:val="false"/>
          <w:i w:val="false"/>
          <w:color w:val="000000"/>
          <w:sz w:val="28"/>
        </w:rPr>
        <w:t>
      2) обеспечение возможности участнику пари устанавливать ограничение времени и суммы денег, затрачиваемых на пари в течение определенного периода времени;</w:t>
      </w:r>
    </w:p>
    <w:bookmarkEnd w:id="111"/>
    <w:bookmarkStart w:name="z118" w:id="112"/>
    <w:p>
      <w:pPr>
        <w:spacing w:after="0"/>
        <w:ind w:left="0"/>
        <w:jc w:val="both"/>
      </w:pPr>
      <w:r>
        <w:rPr>
          <w:rFonts w:ascii="Times New Roman"/>
          <w:b w:val="false"/>
          <w:i w:val="false"/>
          <w:color w:val="000000"/>
          <w:sz w:val="28"/>
        </w:rPr>
        <w:t>
      3) периодическое уведомление (с интервалом не более одного часа) участника пари о времени нахождения на аккаунте, о количестве осуществленных ставок и проигранных суммах денег;</w:t>
      </w:r>
    </w:p>
    <w:bookmarkEnd w:id="112"/>
    <w:bookmarkStart w:name="z119" w:id="113"/>
    <w:p>
      <w:pPr>
        <w:spacing w:after="0"/>
        <w:ind w:left="0"/>
        <w:jc w:val="both"/>
      </w:pPr>
      <w:r>
        <w:rPr>
          <w:rFonts w:ascii="Times New Roman"/>
          <w:b w:val="false"/>
          <w:i w:val="false"/>
          <w:color w:val="000000"/>
          <w:sz w:val="28"/>
        </w:rPr>
        <w:t>
      4) периодическая (с интервалом не более одного часа) трансляция через телевизор, устройства, используемые для организации и проведения пари, позволяющие участникам пари наблюдать развитие и исход события, на результат которого ими были сделаны ставки, предупреждения о рисках и вреде участия в пари.</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