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c4cd" w14:textId="f09c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8 июля 2020 года № 195 "Об утверждении Правил оказания государственных услуг в сфере игорного бизнеса"</w:t>
      </w:r>
    </w:p>
    <w:p>
      <w:pPr>
        <w:spacing w:after="0"/>
        <w:ind w:left="0"/>
        <w:jc w:val="both"/>
      </w:pPr>
      <w:r>
        <w:rPr>
          <w:rFonts w:ascii="Times New Roman"/>
          <w:b w:val="false"/>
          <w:i w:val="false"/>
          <w:color w:val="000000"/>
          <w:sz w:val="28"/>
        </w:rPr>
        <w:t>Приказ Министра туризма и спорта Республики Казахстан от 10 октября 2024 года № 178. Зарегистрирован в Министерстве юстиции Республики Казахстан 10 октября 2024 года № 35246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8 июля 2020 года № 195 "Об утверждении Правил оказания государственных услуг в сфере игорного бизнеса" (зарегистрирован в Реестре государственной регистрации нормативных правовых актов под № 20947)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занятие деятельностью казино",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лицензии на занятие деятельностью казино":</w:t>
      </w:r>
    </w:p>
    <w:bookmarkEnd w:id="5"/>
    <w:bookmarkStart w:name="z11" w:id="6"/>
    <w:p>
      <w:pPr>
        <w:spacing w:after="0"/>
        <w:ind w:left="0"/>
        <w:jc w:val="both"/>
      </w:pPr>
      <w:r>
        <w:rPr>
          <w:rFonts w:ascii="Times New Roman"/>
          <w:b w:val="false"/>
          <w:i w:val="false"/>
          <w:color w:val="000000"/>
          <w:sz w:val="28"/>
        </w:rPr>
        <w:t>
      cтроки, порядковые номера 3 и 4, изложить в следующей редакции:</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cтроку, порядковый номер 8, изложить в следующей редакции:</w:t>
      </w:r>
    </w:p>
    <w:bookmarkEnd w:id="9"/>
    <w:bookmarkStart w:name="z1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Для получения лицензии:</w:t>
            </w:r>
          </w:p>
          <w:bookmarkEnd w:id="11"/>
          <w:p>
            <w:pPr>
              <w:spacing w:after="20"/>
              <w:ind w:left="20"/>
              <w:jc w:val="both"/>
            </w:pPr>
            <w:r>
              <w:rPr>
                <w:rFonts w:ascii="Times New Roman"/>
                <w:b w:val="false"/>
                <w:i w:val="false"/>
                <w:color w:val="000000"/>
                <w:sz w:val="20"/>
              </w:rPr>
              <w:t xml:space="preserve">
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случае отсутствия данных в информационной системе www.elicense.kz предоставить подтверждающие документы: свидетельство либо сертификат об аккредитации гостиничного комплекса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6) наличие образцов и номинаций, применяемых легитимационных знаков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 xml:space="preserve">7) правила работы игорного заведения в соответствии с Типовыми правилами работы игорного заведения,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8) договор с банком второго уровня на территории Республики Казахстан на открытие вклада в размере 60000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1) заявление юридического лица на переоформление лицензии в форме электронного запроса, удостоверенного ЭЦП услугополучателя, согласно приложению 6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занятие деятельностью зала игровых автоматов",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лицензии на занятие деятельностью зала игровых автоматов":</w:t>
      </w:r>
    </w:p>
    <w:bookmarkEnd w:id="15"/>
    <w:bookmarkStart w:name="z24" w:id="16"/>
    <w:p>
      <w:pPr>
        <w:spacing w:after="0"/>
        <w:ind w:left="0"/>
        <w:jc w:val="both"/>
      </w:pPr>
      <w:r>
        <w:rPr>
          <w:rFonts w:ascii="Times New Roman"/>
          <w:b w:val="false"/>
          <w:i w:val="false"/>
          <w:color w:val="000000"/>
          <w:sz w:val="28"/>
        </w:rPr>
        <w:t>
      cтроки, порядковые номера 3 и 4, изложить в новой редакции:</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cтроку, порядковый номер 6, изложить в новой редакции:</w:t>
      </w:r>
    </w:p>
    <w:bookmarkEnd w:id="18"/>
    <w:bookmarkStart w:name="z28"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ежегодного лицензионного сбора за право занятия деятельностью зала игровых автоматов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составляют:</w:t>
            </w:r>
          </w:p>
          <w:p>
            <w:pPr>
              <w:spacing w:after="20"/>
              <w:ind w:left="20"/>
              <w:jc w:val="both"/>
            </w:pPr>
            <w:r>
              <w:rPr>
                <w:rFonts w:ascii="Times New Roman"/>
                <w:b w:val="false"/>
                <w:i w:val="false"/>
                <w:color w:val="000000"/>
                <w:sz w:val="20"/>
              </w:rPr>
              <w:t>сбор при выдаче лицензии составляет 3845 месячных расчетных показателей (далее – МРП);</w:t>
            </w:r>
          </w:p>
          <w:p>
            <w:pPr>
              <w:spacing w:after="20"/>
              <w:ind w:left="20"/>
              <w:jc w:val="both"/>
            </w:pPr>
            <w:r>
              <w:rPr>
                <w:rFonts w:ascii="Times New Roman"/>
                <w:b w:val="false"/>
                <w:i w:val="false"/>
                <w:color w:val="000000"/>
                <w:sz w:val="20"/>
              </w:rPr>
              <w:t>сбор за переоформление лицензии составляет 10 % от ставки при выдаче лицензии.</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p>
            <w:pPr>
              <w:spacing w:after="20"/>
              <w:ind w:left="20"/>
              <w:jc w:val="both"/>
            </w:pPr>
            <w:r>
              <w:rPr>
                <w:rFonts w:ascii="Times New Roman"/>
                <w:b w:val="false"/>
                <w:i w:val="false"/>
                <w:color w:val="000000"/>
                <w:sz w:val="20"/>
              </w:rPr>
              <w:t>(далее – ПШЭП).</w:t>
            </w:r>
          </w:p>
        </w:tc>
      </w:tr>
    </w:tbl>
    <w:bookmarkStart w:name="z29" w:id="20"/>
    <w:p>
      <w:pPr>
        <w:spacing w:after="0"/>
        <w:ind w:left="0"/>
        <w:jc w:val="both"/>
      </w:pPr>
      <w:r>
        <w:rPr>
          <w:rFonts w:ascii="Times New Roman"/>
          <w:b w:val="false"/>
          <w:i w:val="false"/>
          <w:color w:val="000000"/>
          <w:sz w:val="28"/>
        </w:rPr>
        <w:t>
      ";</w:t>
      </w:r>
    </w:p>
    <w:bookmarkEnd w:id="20"/>
    <w:bookmarkStart w:name="z30" w:id="21"/>
    <w:p>
      <w:pPr>
        <w:spacing w:after="0"/>
        <w:ind w:left="0"/>
        <w:jc w:val="both"/>
      </w:pPr>
      <w:r>
        <w:rPr>
          <w:rFonts w:ascii="Times New Roman"/>
          <w:b w:val="false"/>
          <w:i w:val="false"/>
          <w:color w:val="000000"/>
          <w:sz w:val="28"/>
        </w:rPr>
        <w:t>
      cтроку, порядковый номер 8, изложить в новой редакции:</w:t>
      </w:r>
    </w:p>
    <w:bookmarkEnd w:id="21"/>
    <w:bookmarkStart w:name="z31"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(в случае отсутствия данных в информационной системе www.elicense.kz предоставить подтверждающие документы: свидетельство либо сертификат об аккредитации гостиничного комплекса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приложению 5 к настоящим Правилам;</w:t>
            </w:r>
          </w:p>
          <w:p>
            <w:pPr>
              <w:spacing w:after="20"/>
              <w:ind w:left="20"/>
              <w:jc w:val="both"/>
            </w:pPr>
            <w:r>
              <w:rPr>
                <w:rFonts w:ascii="Times New Roman"/>
                <w:b w:val="false"/>
                <w:i w:val="false"/>
                <w:color w:val="000000"/>
                <w:sz w:val="20"/>
              </w:rPr>
              <w:t>6) наличие образцов и номинаций, применяемых легитимационных знаков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 xml:space="preserve">7) правила работы игорного заведения в соответствии с Типовыми правилами работы игорного заведения,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8) договор с банком второго уровня на территории Республики Казахстан на открытие вклада в размере 60000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1) заявление юридического лица на переоформление лицензии в форме электронного запроса, удостоверенного ЭЦП услугополучателя, согласно приложению 6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bl>
    <w:bookmarkStart w:name="z32" w:id="23"/>
    <w:p>
      <w:pPr>
        <w:spacing w:after="0"/>
        <w:ind w:left="0"/>
        <w:jc w:val="both"/>
      </w:pP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занятие деятельностью букмекерской конторы",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5"/>
    <w:bookmarkStart w:name="z37" w:id="2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лицензии на занятие деятельностью букмекерской конторы":</w:t>
      </w:r>
    </w:p>
    <w:bookmarkEnd w:id="27"/>
    <w:bookmarkStart w:name="z39" w:id="28"/>
    <w:p>
      <w:pPr>
        <w:spacing w:after="0"/>
        <w:ind w:left="0"/>
        <w:jc w:val="both"/>
      </w:pPr>
      <w:r>
        <w:rPr>
          <w:rFonts w:ascii="Times New Roman"/>
          <w:b w:val="false"/>
          <w:i w:val="false"/>
          <w:color w:val="000000"/>
          <w:sz w:val="28"/>
        </w:rPr>
        <w:t>
      cтроки, порядковые номера 3 и 4, изложить в следующей редакции:</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cтроку, порядковый номер 8, изложить в следующей редакции:</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(с предоставлением подтверждающих документов),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6) правила работы букмекерской конторы в соответствии с Типовыми правилами работы букмекерской конторы,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7) договор с банком второго уровня на территории Республики Казахстан на открытие вклада в размере 40000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 для переоформления лицензии:</w:t>
            </w:r>
          </w:p>
          <w:p>
            <w:pPr>
              <w:spacing w:after="20"/>
              <w:ind w:left="20"/>
              <w:jc w:val="both"/>
            </w:pPr>
            <w:r>
              <w:rPr>
                <w:rFonts w:ascii="Times New Roman"/>
                <w:b w:val="false"/>
                <w:i w:val="false"/>
                <w:color w:val="000000"/>
                <w:sz w:val="20"/>
              </w:rPr>
              <w:t xml:space="preserve">1) заявление юридического лица на переоформление лицензии в форме электронного запроса, удостоверенного ЭЦП услугополучателя,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bl>
    <w:bookmarkStart w:name="z44" w:id="33"/>
    <w:p>
      <w:pPr>
        <w:spacing w:after="0"/>
        <w:ind w:left="0"/>
        <w:jc w:val="both"/>
      </w:pP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занятие деятельностью тотализатора",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приложении 1 к настоящим Правилам.</w:t>
      </w:r>
    </w:p>
    <w:bookmarkEnd w:id="35"/>
    <w:bookmarkStart w:name="z49" w:id="3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36"/>
    <w:bookmarkStart w:name="z50"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лицензии на занятие деятельностью тотализатора":</w:t>
      </w:r>
    </w:p>
    <w:bookmarkEnd w:id="37"/>
    <w:bookmarkStart w:name="z51" w:id="38"/>
    <w:p>
      <w:pPr>
        <w:spacing w:after="0"/>
        <w:ind w:left="0"/>
        <w:jc w:val="both"/>
      </w:pPr>
      <w:r>
        <w:rPr>
          <w:rFonts w:ascii="Times New Roman"/>
          <w:b w:val="false"/>
          <w:i w:val="false"/>
          <w:color w:val="000000"/>
          <w:sz w:val="28"/>
        </w:rPr>
        <w:t>
      cтроки, порядковые номера 3 и 4, изложить в следующей редакции:</w:t>
      </w:r>
    </w:p>
    <w:bookmarkEnd w:id="38"/>
    <w:bookmarkStart w:name="z52"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53" w:id="40"/>
    <w:p>
      <w:pPr>
        <w:spacing w:after="0"/>
        <w:ind w:left="0"/>
        <w:jc w:val="both"/>
      </w:pPr>
      <w:r>
        <w:rPr>
          <w:rFonts w:ascii="Times New Roman"/>
          <w:b w:val="false"/>
          <w:i w:val="false"/>
          <w:color w:val="000000"/>
          <w:sz w:val="28"/>
        </w:rPr>
        <w:t>
      ";</w:t>
      </w:r>
    </w:p>
    <w:bookmarkEnd w:id="40"/>
    <w:bookmarkStart w:name="z54" w:id="41"/>
    <w:p>
      <w:pPr>
        <w:spacing w:after="0"/>
        <w:ind w:left="0"/>
        <w:jc w:val="both"/>
      </w:pPr>
      <w:r>
        <w:rPr>
          <w:rFonts w:ascii="Times New Roman"/>
          <w:b w:val="false"/>
          <w:i w:val="false"/>
          <w:color w:val="000000"/>
          <w:sz w:val="28"/>
        </w:rPr>
        <w:t>
      cтроку, порядковый номер 8, изложить в следующей редакции:</w:t>
      </w:r>
    </w:p>
    <w:bookmarkEnd w:id="41"/>
    <w:bookmarkStart w:name="z55"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Для получения лицензии:</w:t>
            </w:r>
          </w:p>
          <w:bookmarkEnd w:id="43"/>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(с предоставлением подтверждающих документов),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нормам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6) правила работы тотализатора в соответствии с Типовыми правилами работы тотализатора,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7) договор с банком второго уровня на территории Республики Казахстан на открытие вклада в размере 10000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 xml:space="preserve">1) заявление юридического лица для переоформления лицензии в форме электронного запроса (далее – электронный запрос), удостоверенного ЭЦП услугополучателя,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9" w:id="44"/>
    <w:p>
      <w:pPr>
        <w:spacing w:after="0"/>
        <w:ind w:left="0"/>
        <w:jc w:val="both"/>
      </w:pPr>
      <w:r>
        <w:rPr>
          <w:rFonts w:ascii="Times New Roman"/>
          <w:b w:val="false"/>
          <w:i w:val="false"/>
          <w:color w:val="000000"/>
          <w:sz w:val="28"/>
        </w:rPr>
        <w:t>
      2.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w:t>
      </w:r>
    </w:p>
    <w:bookmarkEnd w:id="44"/>
    <w:bookmarkStart w:name="z60"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61" w:id="4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туризма и спорта Республики Казахстан;</w:t>
      </w:r>
    </w:p>
    <w:bookmarkEnd w:id="46"/>
    <w:bookmarkStart w:name="z62" w:id="47"/>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47"/>
    <w:bookmarkStart w:name="z63" w:id="4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48"/>
    <w:bookmarkStart w:name="z64" w:id="4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bookmarkStart w:name="z66" w:id="50"/>
      <w:r>
        <w:rPr>
          <w:rFonts w:ascii="Times New Roman"/>
          <w:b w:val="false"/>
          <w:i w:val="false"/>
          <w:color w:val="000000"/>
          <w:sz w:val="28"/>
        </w:rPr>
        <w:t>
      "СОГЛАСОВАНО"</w:t>
      </w:r>
    </w:p>
    <w:bookmarkEnd w:id="5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51"/>
      <w:r>
        <w:rPr>
          <w:rFonts w:ascii="Times New Roman"/>
          <w:b w:val="false"/>
          <w:i w:val="false"/>
          <w:color w:val="000000"/>
          <w:sz w:val="28"/>
        </w:rPr>
        <w:t>
      "СОГЛАСОВАНО"</w:t>
      </w:r>
    </w:p>
    <w:bookmarkEnd w:id="5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2"/>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зала</w:t>
            </w:r>
            <w:r>
              <w:br/>
            </w:r>
            <w:r>
              <w:rPr>
                <w:rFonts w:ascii="Times New Roman"/>
                <w:b w:val="false"/>
                <w:i w:val="false"/>
                <w:color w:val="000000"/>
                <w:sz w:val="20"/>
              </w:rPr>
              <w:t>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53"/>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54"/>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55"/>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