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5ef8" w14:textId="4be5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чрезвычайным ситуациям Республики Казахстан от 17 августа 2021 года № 405 "Об утверждении технического регламента "Общие требования к пожарной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15 октября 2024 года № 381. Зарегистрирован в Министерстве юстиции Республики Казахстан 16 октября 2024 года № 35265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17 августа 2021 года № 405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24045)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техническом регламенте</w:t>
      </w:r>
      <w:r>
        <w:rPr>
          <w:rFonts w:ascii="Times New Roman"/>
          <w:b w:val="false"/>
          <w:i w:val="false"/>
          <w:color w:val="000000"/>
          <w:sz w:val="28"/>
        </w:rPr>
        <w:t xml:space="preserve"> "Общие требования к пожарной безопасности",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 xml:space="preserve"> главы 3:</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"Параграф 2. Требования пожарной безопасности при проектировании объектов";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"40. Ширина подъездов и проездов для пожарных автомобилей должна быть не менее 6 м. Максимально допустимый уклон проездов для пожарных автомобилей необходимо принимать не более 10 %, а уклон подъездов не более 6 %.";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"84. Установку пожарных гидрантов необходимо предусматривать вдоль автомобильных дорог на расстоянии не более 2,5 м от края проезжей части, но не менее 5 м от стен зданий и сооружений.</w:t>
      </w:r>
    </w:p>
    <w:bookmarkEnd w:id="6"/>
    <w:bookmarkStart w:name="z14" w:id="7"/>
    <w:p>
      <w:pPr>
        <w:spacing w:after="0"/>
        <w:ind w:left="0"/>
        <w:jc w:val="both"/>
      </w:pPr>
      <w:r>
        <w:rPr>
          <w:rFonts w:ascii="Times New Roman"/>
          <w:b w:val="false"/>
          <w:i w:val="false"/>
          <w:color w:val="000000"/>
          <w:sz w:val="28"/>
        </w:rPr>
        <w:t>
      Допускается располагать пожарные гидранты на проезжей части, при этом установка пожарных гидрантов на ответвлении от линии объединенного хозяйственно-питьевого водопровода не допускается.</w:t>
      </w:r>
    </w:p>
    <w:bookmarkEnd w:id="7"/>
    <w:bookmarkStart w:name="z15" w:id="8"/>
    <w:p>
      <w:pPr>
        <w:spacing w:after="0"/>
        <w:ind w:left="0"/>
        <w:jc w:val="both"/>
      </w:pPr>
      <w:r>
        <w:rPr>
          <w:rFonts w:ascii="Times New Roman"/>
          <w:b w:val="false"/>
          <w:i w:val="false"/>
          <w:color w:val="000000"/>
          <w:sz w:val="28"/>
        </w:rPr>
        <w:t>
      В случае расположения пожарного гидранта на подъезде для пожарной техники, минимальная ширина проездов на данном участке должна составлять 8 м.</w:t>
      </w:r>
    </w:p>
    <w:bookmarkEnd w:id="8"/>
    <w:bookmarkStart w:name="z16" w:id="9"/>
    <w:p>
      <w:pPr>
        <w:spacing w:after="0"/>
        <w:ind w:left="0"/>
        <w:jc w:val="both"/>
      </w:pPr>
      <w:r>
        <w:rPr>
          <w:rFonts w:ascii="Times New Roman"/>
          <w:b w:val="false"/>
          <w:i w:val="false"/>
          <w:color w:val="000000"/>
          <w:sz w:val="28"/>
        </w:rPr>
        <w:t>
      85. Расстановка пожарных гидрантов на водопроводной сети должна обеспечивать пожаротушение любого обслуживаемого данной сетью здания, сооружения или их части не менее чем от двух пожарных гидрантов при расходе воды на наружное пожаротушение 15 л/с и более и от одного гидранта при расходе воды менее 15 л/с, с учетом прокладки рукавных линий длиной не более 150 м по дорогам с твердым покрытием.";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2</w:t>
      </w:r>
      <w:r>
        <w:rPr>
          <w:rFonts w:ascii="Times New Roman"/>
          <w:b w:val="false"/>
          <w:i w:val="false"/>
          <w:color w:val="000000"/>
          <w:sz w:val="28"/>
        </w:rPr>
        <w:t xml:space="preserve"> изложить в следующей редакции: </w:t>
      </w:r>
    </w:p>
    <w:bookmarkStart w:name="z18" w:id="10"/>
    <w:p>
      <w:pPr>
        <w:spacing w:after="0"/>
        <w:ind w:left="0"/>
        <w:jc w:val="both"/>
      </w:pPr>
      <w:r>
        <w:rPr>
          <w:rFonts w:ascii="Times New Roman"/>
          <w:b w:val="false"/>
          <w:i w:val="false"/>
          <w:color w:val="000000"/>
          <w:sz w:val="28"/>
        </w:rPr>
        <w:t>
      "Раздел 2. Требования к противопожарным расстояниям между зданиями и сооружениями";</w:t>
      </w:r>
    </w:p>
    <w:bookmarkEnd w:id="10"/>
    <w:bookmarkStart w:name="z19"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95</w:t>
      </w:r>
      <w:r>
        <w:rPr>
          <w:rFonts w:ascii="Times New Roman"/>
          <w:b w:val="false"/>
          <w:i w:val="false"/>
          <w:color w:val="000000"/>
          <w:sz w:val="28"/>
        </w:rPr>
        <w:t xml:space="preserve"> на государственном языке вносится изменение, текст на русском языке не меняется;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"110. При размещении автозаправочных станций на территории населенных пунктов противопожарные расстояния должны определяться от стенок резервуаров (сосудов) для хранения топлива и аварийных резервуаров, наземного оборудования, в котором обращается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нефтяных газов или сжиженного природного газа, границ площадок для автоцистерны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автозаправочных станций до:</w:t>
      </w:r>
    </w:p>
    <w:bookmarkEnd w:id="12"/>
    <w:bookmarkStart w:name="z22" w:id="13"/>
    <w:p>
      <w:pPr>
        <w:spacing w:after="0"/>
        <w:ind w:left="0"/>
        <w:jc w:val="both"/>
      </w:pPr>
      <w:r>
        <w:rPr>
          <w:rFonts w:ascii="Times New Roman"/>
          <w:b w:val="false"/>
          <w:i w:val="false"/>
          <w:color w:val="000000"/>
          <w:sz w:val="28"/>
        </w:rPr>
        <w:t>
      1) границ земельных участков дошкольных организаций, организаций среднего образования, интернатных организаций, медицинских организаций, оказывающих медицинскую помощь в стационарных условиях, одноквартирных жилых зданий;</w:t>
      </w:r>
    </w:p>
    <w:bookmarkEnd w:id="13"/>
    <w:bookmarkStart w:name="z23" w:id="14"/>
    <w:p>
      <w:pPr>
        <w:spacing w:after="0"/>
        <w:ind w:left="0"/>
        <w:jc w:val="both"/>
      </w:pPr>
      <w:r>
        <w:rPr>
          <w:rFonts w:ascii="Times New Roman"/>
          <w:b w:val="false"/>
          <w:i w:val="false"/>
          <w:color w:val="000000"/>
          <w:sz w:val="28"/>
        </w:rPr>
        <w:t>
      2) стен жилых и общественных зданий другого назначения.";</w:t>
      </w:r>
    </w:p>
    <w:bookmarkEnd w:id="14"/>
    <w:bookmarkStart w:name="z24"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115</w:t>
      </w:r>
      <w:r>
        <w:rPr>
          <w:rFonts w:ascii="Times New Roman"/>
          <w:b w:val="false"/>
          <w:i w:val="false"/>
          <w:color w:val="000000"/>
          <w:sz w:val="28"/>
        </w:rPr>
        <w:t xml:space="preserve"> на государственном языке вносится изменение, текст на русском языке не меняется;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"142. Приточно-вытяжная система противодымной вентиляции применяется в зданиях и сооружениях, в которых архитектурно-планировочными решениями или с помощью механической вентиляции обеспечивается приток воздуха в объемах, соответствующих объему удаляемых продуктов горения.</w:t>
      </w:r>
    </w:p>
    <w:bookmarkEnd w:id="16"/>
    <w:bookmarkStart w:name="z27" w:id="17"/>
    <w:p>
      <w:pPr>
        <w:spacing w:after="0"/>
        <w:ind w:left="0"/>
        <w:jc w:val="both"/>
      </w:pPr>
      <w:r>
        <w:rPr>
          <w:rFonts w:ascii="Times New Roman"/>
          <w:b w:val="false"/>
          <w:i w:val="false"/>
          <w:color w:val="000000"/>
          <w:sz w:val="28"/>
        </w:rPr>
        <w:t>
      Компенсационный приток и вытяжной клапан дымоудаления необходимо устанавливать рассредоточено друг от друга. Высота их установки должна обеспечивать воздушно-дымовую конвекцию в случае пожара.";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"161. Пределы огнестойкости строительных конструкций допускается определять расчетно-аналитическими методами, установленными в документах по стандартизации, архитектуры, градостроительства и строительства.";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214</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"214. Работы, выполняемые по монтажу систем и установок пожарной автоматики, оформляются в соответствии с требованиями СН РК 1.03-00-2022 "Строительное производство. Организация строительства предприятий, зданий и сооружений".";</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223</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"223. Место расположения пожарных депо по охране объектов необходимо выбирать из расчета радиуса обслуживания предприятия с учетом имеющихся пожарных депо (постов), находящихся в пределах, устанавливаемых радиусов обслуживания.</w:t>
      </w:r>
    </w:p>
    <w:bookmarkEnd w:id="20"/>
    <w:bookmarkStart w:name="z34" w:id="21"/>
    <w:p>
      <w:pPr>
        <w:spacing w:after="0"/>
        <w:ind w:left="0"/>
        <w:jc w:val="both"/>
      </w:pPr>
      <w:r>
        <w:rPr>
          <w:rFonts w:ascii="Times New Roman"/>
          <w:b w:val="false"/>
          <w:i w:val="false"/>
          <w:color w:val="000000"/>
          <w:sz w:val="28"/>
        </w:rPr>
        <w:t>
      Радиусы обслуживания пожарными депо должны определяться из условия пути следования до наиболее удаленного здания или сооружения по дорогам общего пользования или проездам и необходимо принимать 2 км – для предприятий с производствами категорий А, Б и В, занимающих более 50 всей площади застройки, 4 км – для предприятий с производствами категорий А, Б и В, занимающих до 50 % площадь застройки, и предприятий с производствами категории Г и Д.</w:t>
      </w:r>
    </w:p>
    <w:bookmarkEnd w:id="21"/>
    <w:bookmarkStart w:name="z35" w:id="22"/>
    <w:p>
      <w:pPr>
        <w:spacing w:after="0"/>
        <w:ind w:left="0"/>
        <w:jc w:val="both"/>
      </w:pPr>
      <w:r>
        <w:rPr>
          <w:rFonts w:ascii="Times New Roman"/>
          <w:b w:val="false"/>
          <w:i w:val="false"/>
          <w:color w:val="000000"/>
          <w:sz w:val="28"/>
        </w:rPr>
        <w:t xml:space="preserve">
      В случае превышения указанного радиуса на площадке предприятия необходимо предусматривать дополнительные пожарные депо (постов) в соответствии с Перечнем организаций и объектов, на которых в обязательном порядке создается негосударственная противопожарная служба,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29 мая 2023 года № 281 (зарегистрирован в Реестре государственной регистрации нормативных правовых актов за № 32631).</w:t>
      </w:r>
    </w:p>
    <w:bookmarkEnd w:id="22"/>
    <w:bookmarkStart w:name="z36" w:id="23"/>
    <w:p>
      <w:pPr>
        <w:spacing w:after="0"/>
        <w:ind w:left="0"/>
        <w:jc w:val="both"/>
      </w:pPr>
      <w:r>
        <w:rPr>
          <w:rFonts w:ascii="Times New Roman"/>
          <w:b w:val="false"/>
          <w:i w:val="false"/>
          <w:color w:val="000000"/>
          <w:sz w:val="28"/>
        </w:rPr>
        <w:t>
      При наличии на площадке предприятии зданий и сооружении III, IIIб, IV, IVа, V степеней огнестойкости с площадью застройки составляющий более 50 % всей площади застройки предприятия, радиусы обслуживания пожарными депо и постами уменьшаются на 40 %.</w:t>
      </w:r>
    </w:p>
    <w:bookmarkEnd w:id="23"/>
    <w:bookmarkStart w:name="z37" w:id="24"/>
    <w:p>
      <w:pPr>
        <w:spacing w:after="0"/>
        <w:ind w:left="0"/>
        <w:jc w:val="both"/>
      </w:pPr>
      <w:r>
        <w:rPr>
          <w:rFonts w:ascii="Times New Roman"/>
          <w:b w:val="false"/>
          <w:i w:val="false"/>
          <w:color w:val="000000"/>
          <w:sz w:val="28"/>
        </w:rPr>
        <w:t>
      Пожарные депо (посты) не допускается встраивать в производственные и вспомогательные здания с производствами категорий А и Б.";</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235</w:t>
      </w:r>
      <w:r>
        <w:rPr>
          <w:rFonts w:ascii="Times New Roman"/>
          <w:b w:val="false"/>
          <w:i w:val="false"/>
          <w:color w:val="000000"/>
          <w:sz w:val="28"/>
        </w:rPr>
        <w:t xml:space="preserve"> изложить в следующей редакции:</w:t>
      </w:r>
    </w:p>
    <w:bookmarkStart w:name="z39" w:id="25"/>
    <w:p>
      <w:pPr>
        <w:spacing w:after="0"/>
        <w:ind w:left="0"/>
        <w:jc w:val="both"/>
      </w:pPr>
      <w:r>
        <w:rPr>
          <w:rFonts w:ascii="Times New Roman"/>
          <w:b w:val="false"/>
          <w:i w:val="false"/>
          <w:color w:val="000000"/>
          <w:sz w:val="28"/>
        </w:rPr>
        <w:t>
      "235. По периметру площадок производственных объектов хранения легковоспламеняющихся, горючих и токсичных жидкостей в таре должно быть предусмотрено устройство замкнутого обвалования или ограждающей стены из негорючих материалов.";</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292</w:t>
      </w:r>
      <w:r>
        <w:rPr>
          <w:rFonts w:ascii="Times New Roman"/>
          <w:b w:val="false"/>
          <w:i w:val="false"/>
          <w:color w:val="000000"/>
          <w:sz w:val="28"/>
        </w:rPr>
        <w:t xml:space="preserve"> изложить в следующей редакции:</w:t>
      </w:r>
    </w:p>
    <w:bookmarkStart w:name="z41" w:id="26"/>
    <w:p>
      <w:pPr>
        <w:spacing w:after="0"/>
        <w:ind w:left="0"/>
        <w:jc w:val="both"/>
      </w:pPr>
      <w:r>
        <w:rPr>
          <w:rFonts w:ascii="Times New Roman"/>
          <w:b w:val="false"/>
          <w:i w:val="false"/>
          <w:color w:val="000000"/>
          <w:sz w:val="28"/>
        </w:rPr>
        <w:t xml:space="preserve">
      "292. 292. Подтверждение соответствия продукции, включая показатели предела огнестойкости, класса пожарной опасности строительных конструкций (в том числе конструкций заполнения проемов), а также показателей пожарной опасности строительных материалов (в том числе, отделочных)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соответствия, утвержденных приказом исполняющего обязанности Министра торговли и интеграции Республики Казахстан от 29 июня 2021 года № 433-НҚ (зарегистрирован в Реестре государственной регистрации нормативных правовых актов № 23364).";</w:t>
      </w:r>
    </w:p>
    <w:bookmarkEnd w:id="26"/>
    <w:bookmarkStart w:name="z42"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Техническому регламенту "Общие требования к пожарной безопасности":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xml:space="preserve"> на государственном языке изложена в новой редакции,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45" w:id="28"/>
    <w:p>
      <w:pPr>
        <w:spacing w:after="0"/>
        <w:ind w:left="0"/>
        <w:jc w:val="both"/>
      </w:pPr>
      <w:r>
        <w:rPr>
          <w:rFonts w:ascii="Times New Roman"/>
          <w:b w:val="false"/>
          <w:i w:val="false"/>
          <w:color w:val="000000"/>
          <w:sz w:val="28"/>
        </w:rPr>
        <w:t>
      "17. Строительные материалы подразделяются на горючие (Г) и негорючие (НГ).";</w:t>
      </w:r>
    </w:p>
    <w:bookmarkEnd w:id="28"/>
    <w:bookmarkStart w:name="z46"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18</w:t>
      </w:r>
      <w:r>
        <w:rPr>
          <w:rFonts w:ascii="Times New Roman"/>
          <w:b w:val="false"/>
          <w:i w:val="false"/>
          <w:color w:val="000000"/>
          <w:sz w:val="28"/>
        </w:rPr>
        <w:t xml:space="preserve"> на государственном языке вносится изменение, текст на русском языке не меняется;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8" w:id="30"/>
    <w:p>
      <w:pPr>
        <w:spacing w:after="0"/>
        <w:ind w:left="0"/>
        <w:jc w:val="both"/>
      </w:pPr>
      <w:r>
        <w:rPr>
          <w:rFonts w:ascii="Times New Roman"/>
          <w:b w:val="false"/>
          <w:i w:val="false"/>
          <w:color w:val="000000"/>
          <w:sz w:val="28"/>
        </w:rPr>
        <w:t>
      "19. Для строительных материалов, относящихся к группам горючести Г1-Г3, не допускается образование горящих капель расплава при испытании.";</w:t>
      </w:r>
    </w:p>
    <w:bookmarkEnd w:id="30"/>
    <w:bookmarkStart w:name="z49"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21</w:t>
      </w:r>
      <w:r>
        <w:rPr>
          <w:rFonts w:ascii="Times New Roman"/>
          <w:b w:val="false"/>
          <w:i w:val="false"/>
          <w:color w:val="000000"/>
          <w:sz w:val="28"/>
        </w:rPr>
        <w:t xml:space="preserve"> на государственном языке вносится изменение, текст на русском языке не меняется;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59 изложить в следующей редакции:</w:t>
      </w:r>
    </w:p>
    <w:bookmarkStart w:name="z51" w:id="32"/>
    <w:p>
      <w:pPr>
        <w:spacing w:after="0"/>
        <w:ind w:left="0"/>
        <w:jc w:val="both"/>
      </w:pPr>
      <w:r>
        <w:rPr>
          <w:rFonts w:ascii="Times New Roman"/>
          <w:b w:val="false"/>
          <w:i w:val="false"/>
          <w:color w:val="000000"/>
          <w:sz w:val="28"/>
        </w:rPr>
        <w:t>
      "1) Ф1 – здания для постоянного проживания и временного пребывания людей:</w:t>
      </w:r>
    </w:p>
    <w:bookmarkEnd w:id="32"/>
    <w:bookmarkStart w:name="z52" w:id="33"/>
    <w:p>
      <w:pPr>
        <w:spacing w:after="0"/>
        <w:ind w:left="0"/>
        <w:jc w:val="both"/>
      </w:pPr>
      <w:r>
        <w:rPr>
          <w:rFonts w:ascii="Times New Roman"/>
          <w:b w:val="false"/>
          <w:i w:val="false"/>
          <w:color w:val="000000"/>
          <w:sz w:val="28"/>
        </w:rPr>
        <w:t>
      Ф1.1 – дошкольные организации, специализированные дома престарелых и лиц с инвалидностью (неквартирные), больницы, спальные корпуса интернатных организаций;</w:t>
      </w:r>
    </w:p>
    <w:bookmarkEnd w:id="33"/>
    <w:bookmarkStart w:name="z53" w:id="34"/>
    <w:p>
      <w:pPr>
        <w:spacing w:after="0"/>
        <w:ind w:left="0"/>
        <w:jc w:val="both"/>
      </w:pPr>
      <w:r>
        <w:rPr>
          <w:rFonts w:ascii="Times New Roman"/>
          <w:b w:val="false"/>
          <w:i w:val="false"/>
          <w:color w:val="000000"/>
          <w:sz w:val="28"/>
        </w:rPr>
        <w:t>
      Ф1.2 – гостиницы, общежития, хостелы, спальные корпуса санаториев и домов отдыха общего типа, кемпингов, мотелей и пансионатов;</w:t>
      </w:r>
    </w:p>
    <w:bookmarkEnd w:id="34"/>
    <w:bookmarkStart w:name="z54" w:id="35"/>
    <w:p>
      <w:pPr>
        <w:spacing w:after="0"/>
        <w:ind w:left="0"/>
        <w:jc w:val="both"/>
      </w:pPr>
      <w:r>
        <w:rPr>
          <w:rFonts w:ascii="Times New Roman"/>
          <w:b w:val="false"/>
          <w:i w:val="false"/>
          <w:color w:val="000000"/>
          <w:sz w:val="28"/>
        </w:rPr>
        <w:t>
      Ф1.3 – многоквартирные жилые дома;</w:t>
      </w:r>
    </w:p>
    <w:bookmarkEnd w:id="35"/>
    <w:bookmarkStart w:name="z55" w:id="36"/>
    <w:p>
      <w:pPr>
        <w:spacing w:after="0"/>
        <w:ind w:left="0"/>
        <w:jc w:val="both"/>
      </w:pPr>
      <w:r>
        <w:rPr>
          <w:rFonts w:ascii="Times New Roman"/>
          <w:b w:val="false"/>
          <w:i w:val="false"/>
          <w:color w:val="000000"/>
          <w:sz w:val="28"/>
        </w:rPr>
        <w:t>
      Ф1.4 – одноквартирные, в том числе блокированные жилые дома;</w:t>
      </w:r>
    </w:p>
    <w:bookmarkEnd w:id="36"/>
    <w:bookmarkStart w:name="z56" w:id="37"/>
    <w:p>
      <w:pPr>
        <w:spacing w:after="0"/>
        <w:ind w:left="0"/>
        <w:jc w:val="both"/>
      </w:pPr>
      <w:r>
        <w:rPr>
          <w:rFonts w:ascii="Times New Roman"/>
          <w:b w:val="false"/>
          <w:i w:val="false"/>
          <w:color w:val="000000"/>
          <w:sz w:val="28"/>
        </w:rPr>
        <w:t>
      Ф1.5 – многофункциональные здания;";</w:t>
      </w:r>
    </w:p>
    <w:bookmarkEnd w:id="37"/>
    <w:bookmarkStart w:name="z57"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Техническому регламенту "Общие требования к пожарной безопасности":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таблицы 1</w:t>
      </w:r>
      <w:r>
        <w:rPr>
          <w:rFonts w:ascii="Times New Roman"/>
          <w:b w:val="false"/>
          <w:i w:val="false"/>
          <w:color w:val="000000"/>
          <w:sz w:val="28"/>
        </w:rPr>
        <w:t xml:space="preserve"> изложить в следующей редакции:</w:t>
      </w:r>
    </w:p>
    <w:bookmarkStart w:name="z59" w:id="39"/>
    <w:p>
      <w:pPr>
        <w:spacing w:after="0"/>
        <w:ind w:left="0"/>
        <w:jc w:val="both"/>
      </w:pPr>
      <w:r>
        <w:rPr>
          <w:rFonts w:ascii="Times New Roman"/>
          <w:b w:val="false"/>
          <w:i w:val="false"/>
          <w:color w:val="000000"/>
          <w:sz w:val="28"/>
        </w:rPr>
        <w:t>
      "Противопожарные расстояния между жилыми, общественными, административными, а также бытовыми зданиями промышленных предприятий в зависимости от степени огнестойкости";</w:t>
      </w:r>
    </w:p>
    <w:bookmarkEnd w:id="39"/>
    <w:bookmarkStart w:name="z60"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Техническому регламенту "Общие требования к пожарной безопасности":</w:t>
      </w:r>
    </w:p>
    <w:bookmarkEnd w:id="40"/>
    <w:bookmarkStart w:name="z61"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таблицы 1:</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64" w:id="42"/>
    <w:p>
      <w:pPr>
        <w:spacing w:after="0"/>
        <w:ind w:left="0"/>
        <w:jc w:val="both"/>
      </w:pPr>
      <w:r>
        <w:rPr>
          <w:rFonts w:ascii="Times New Roman"/>
          <w:b w:val="false"/>
          <w:i w:val="false"/>
          <w:color w:val="000000"/>
          <w:sz w:val="28"/>
        </w:rPr>
        <w:t xml:space="preserve">
      "6. Расстояние, обозначенное "*", необходимо увеличивать в два раза для АЗС, обслуживающих автотранспортные средства, полная масса которых более 3,5 т; </w:t>
      </w:r>
    </w:p>
    <w:bookmarkEnd w:id="42"/>
    <w:bookmarkStart w:name="z65" w:id="43"/>
    <w:p>
      <w:pPr>
        <w:spacing w:after="0"/>
        <w:ind w:left="0"/>
        <w:jc w:val="both"/>
      </w:pPr>
      <w:r>
        <w:rPr>
          <w:rFonts w:ascii="Times New Roman"/>
          <w:b w:val="false"/>
          <w:i w:val="false"/>
          <w:color w:val="000000"/>
          <w:sz w:val="28"/>
        </w:rPr>
        <w:t>
      7. Расстояние от АЗС с наземными резервуарами до объектов, указанных в строках 1, 2, 3, 4, 7, 10, 11 необходимо увеличивать в два раза.".</w:t>
      </w:r>
    </w:p>
    <w:bookmarkEnd w:id="43"/>
    <w:bookmarkStart w:name="z66" w:id="44"/>
    <w:p>
      <w:pPr>
        <w:spacing w:after="0"/>
        <w:ind w:left="0"/>
        <w:jc w:val="both"/>
      </w:pPr>
      <w:r>
        <w:rPr>
          <w:rFonts w:ascii="Times New Roman"/>
          <w:b w:val="false"/>
          <w:i w:val="false"/>
          <w:color w:val="000000"/>
          <w:sz w:val="28"/>
        </w:rPr>
        <w:t>
      2. Комитету противопожарной службы Министерства по чрезвычайным ситуациям Республики Казахстан в установленном законодательством порядке обеспечить:</w:t>
      </w:r>
    </w:p>
    <w:bookmarkEnd w:id="44"/>
    <w:bookmarkStart w:name="z67" w:id="4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5"/>
    <w:bookmarkStart w:name="z68" w:id="4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6"/>
    <w:bookmarkStart w:name="z69" w:id="4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47"/>
    <w:bookmarkStart w:name="z70" w:id="4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bookmarkStart w:name="z72"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3" w:id="50"/>
      <w:r>
        <w:rPr>
          <w:rFonts w:ascii="Times New Roman"/>
          <w:b w:val="false"/>
          <w:i w:val="false"/>
          <w:color w:val="000000"/>
          <w:sz w:val="28"/>
        </w:rPr>
        <w:t>
      "СОГЛАСОВАН"</w:t>
      </w:r>
    </w:p>
    <w:bookmarkEnd w:id="5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4" w:id="51"/>
      <w:r>
        <w:rPr>
          <w:rFonts w:ascii="Times New Roman"/>
          <w:b w:val="false"/>
          <w:i w:val="false"/>
          <w:color w:val="000000"/>
          <w:sz w:val="28"/>
        </w:rPr>
        <w:t>
      "СОГЛАСОВАН"</w:t>
      </w:r>
    </w:p>
    <w:bookmarkEnd w:id="5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