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8bb9" w14:textId="c288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системе управления рисками и внутреннего контроля банковского конгломерата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27 декабря 2024 года № 94. Зарегистрировано в Министерстве юстиции Республики Казахстан 31 декабря 2024 года № 35608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01.09.2025</w:t>
      </w:r>
    </w:p>
    <w:bookmarkStart w:name="z4" w:id="0"/>
    <w:p>
      <w:pPr>
        <w:spacing w:after="0"/>
        <w:ind w:left="0"/>
        <w:jc w:val="both"/>
      </w:pPr>
      <w:r>
        <w:rPr>
          <w:rFonts w:ascii="Times New Roman"/>
          <w:b w:val="false"/>
          <w:i w:val="false"/>
          <w:color w:val="000000"/>
          <w:sz w:val="28"/>
        </w:rPr>
        <w:t xml:space="preserve">
      В соответствии с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40-5 Закона Республики Казахстан "О банках и банковской деятельности в Республике Казахстан"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системе управления рисками и внутреннего контроля банковского конгломерата.</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c 1 сентября 2025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декабря 2024 года № 94</w:t>
            </w:r>
          </w:p>
        </w:tc>
      </w:tr>
    </w:tbl>
    <w:bookmarkStart w:name="z14" w:id="8"/>
    <w:p>
      <w:pPr>
        <w:spacing w:after="0"/>
        <w:ind w:left="0"/>
        <w:jc w:val="left"/>
      </w:pPr>
      <w:r>
        <w:rPr>
          <w:rFonts w:ascii="Times New Roman"/>
          <w:b/>
          <w:i w:val="false"/>
          <w:color w:val="000000"/>
        </w:rPr>
        <w:t xml:space="preserve"> Требования к системе управления рисками и внутреннего контроля банковского конгломерата</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Требования к системе управления рисками и внутреннего контроля банковского конгломерата (далее – Требования) разработаны в соответствии с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40-5 Закона Республики Казахстан "О банках и банковской деятельности в Республике Казахстан" (далее – Закон о банках) и устанавливают требования к системе управления рисками и внутреннего контроля банковского конгломерата, состоящего из банковского холдинга, банка, а также дочерних организаций банковского холдинга и (или) дочерних организаций банка, и (или) организаций, в которых банковский холдинг и (или) его дочерние организации, и (или) банк имеют значительное участие в капитале (далее – банковский конгломерат).</w:t>
      </w:r>
    </w:p>
    <w:bookmarkEnd w:id="10"/>
    <w:bookmarkStart w:name="z17" w:id="11"/>
    <w:p>
      <w:pPr>
        <w:spacing w:after="0"/>
        <w:ind w:left="0"/>
        <w:jc w:val="both"/>
      </w:pPr>
      <w:r>
        <w:rPr>
          <w:rFonts w:ascii="Times New Roman"/>
          <w:b w:val="false"/>
          <w:i w:val="false"/>
          <w:color w:val="000000"/>
          <w:sz w:val="28"/>
        </w:rPr>
        <w:t xml:space="preserve">
      2. В Требованиях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банках, законами Республики Казахстан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и "</w:t>
      </w:r>
      <w:r>
        <w:rPr>
          <w:rFonts w:ascii="Times New Roman"/>
          <w:b w:val="false"/>
          <w:i w:val="false"/>
          <w:color w:val="000000"/>
          <w:sz w:val="28"/>
        </w:rPr>
        <w:t>О товариществах с ограниченной</w:t>
      </w:r>
      <w:r>
        <w:rPr>
          <w:rFonts w:ascii="Times New Roman"/>
          <w:b w:val="false"/>
          <w:i w:val="false"/>
          <w:color w:val="000000"/>
          <w:sz w:val="28"/>
        </w:rPr>
        <w:t xml:space="preserve"> и дополнительной ответственностью".</w:t>
      </w:r>
    </w:p>
    <w:bookmarkEnd w:id="11"/>
    <w:bookmarkStart w:name="z18" w:id="12"/>
    <w:p>
      <w:pPr>
        <w:spacing w:after="0"/>
        <w:ind w:left="0"/>
        <w:jc w:val="both"/>
      </w:pPr>
      <w:r>
        <w:rPr>
          <w:rFonts w:ascii="Times New Roman"/>
          <w:b w:val="false"/>
          <w:i w:val="false"/>
          <w:color w:val="000000"/>
          <w:sz w:val="28"/>
        </w:rPr>
        <w:t>
      3. Целью Требований является определение требований к формированию систем управления рисками и внутреннего контроля банковского конгломерата, обеспечивающих осуществление эффективного контроля со стороны совета директоров (для товариществ с ограниченной ответственностью – наблюдательный совет (при наличии) или общее собрание участников) участника банковского конгломерата, имеющего контроль или значительное участие в капитале банка и (или) банковского холдинга (при наличии), а также других участников банковского конгломерата (далее – организация верхнего уровня банковского конгломерата) за деятельностью участников банковского конгломерата и их финансовым состоянием, в том числе путем обеспечения:</w:t>
      </w:r>
    </w:p>
    <w:bookmarkEnd w:id="12"/>
    <w:bookmarkStart w:name="z19" w:id="13"/>
    <w:p>
      <w:pPr>
        <w:spacing w:after="0"/>
        <w:ind w:left="0"/>
        <w:jc w:val="both"/>
      </w:pPr>
      <w:r>
        <w:rPr>
          <w:rFonts w:ascii="Times New Roman"/>
          <w:b w:val="false"/>
          <w:i w:val="false"/>
          <w:color w:val="000000"/>
          <w:sz w:val="28"/>
        </w:rPr>
        <w:t>
      1) надлежащей практики корпоративного управления и надлежащего уровня деловой этики и культуры;</w:t>
      </w:r>
    </w:p>
    <w:bookmarkEnd w:id="13"/>
    <w:bookmarkStart w:name="z20" w:id="14"/>
    <w:p>
      <w:pPr>
        <w:spacing w:after="0"/>
        <w:ind w:left="0"/>
        <w:jc w:val="both"/>
      </w:pPr>
      <w:r>
        <w:rPr>
          <w:rFonts w:ascii="Times New Roman"/>
          <w:b w:val="false"/>
          <w:i w:val="false"/>
          <w:color w:val="000000"/>
          <w:sz w:val="28"/>
        </w:rPr>
        <w:t>
      2) соблюдения организацией верхнего уровня банковского конгломерата и участниками банковского конгломерата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политик, процедур и иных внутренних документов банковского конгломерата и нормативных правовых актов уполномоченного органа по регулированию, контролю и надзору финансового рынка и финансовых организаций (далее – уполномоченный орган);</w:t>
      </w:r>
    </w:p>
    <w:bookmarkEnd w:id="14"/>
    <w:bookmarkStart w:name="z21" w:id="15"/>
    <w:p>
      <w:pPr>
        <w:spacing w:after="0"/>
        <w:ind w:left="0"/>
        <w:jc w:val="both"/>
      </w:pPr>
      <w:r>
        <w:rPr>
          <w:rFonts w:ascii="Times New Roman"/>
          <w:b w:val="false"/>
          <w:i w:val="false"/>
          <w:color w:val="000000"/>
          <w:sz w:val="28"/>
        </w:rPr>
        <w:t>
      3) эффективного управления рисками банковского конгломерата посредством своевременного их выявления, измерения, контроля и мониторинга для обеспечения соответствия капитала банковского конгломерата принимаемым им рискам;</w:t>
      </w:r>
    </w:p>
    <w:bookmarkEnd w:id="15"/>
    <w:bookmarkStart w:name="z22" w:id="16"/>
    <w:p>
      <w:pPr>
        <w:spacing w:after="0"/>
        <w:ind w:left="0"/>
        <w:jc w:val="both"/>
      </w:pPr>
      <w:r>
        <w:rPr>
          <w:rFonts w:ascii="Times New Roman"/>
          <w:b w:val="false"/>
          <w:i w:val="false"/>
          <w:color w:val="000000"/>
          <w:sz w:val="28"/>
        </w:rPr>
        <w:t>
      4) создания в банковском конгломерате адекватных механизмов для решения непредвиденных или чрезвычайных ситуаций, которые могут повлиять на финансовое состояние банковского конгломерата, включая входящих в него финансовых организаций (далее – регулируемые участники банковского конгломерата).</w:t>
      </w:r>
    </w:p>
    <w:bookmarkEnd w:id="16"/>
    <w:bookmarkStart w:name="z23" w:id="17"/>
    <w:p>
      <w:pPr>
        <w:spacing w:after="0"/>
        <w:ind w:left="0"/>
        <w:jc w:val="left"/>
      </w:pPr>
      <w:r>
        <w:rPr>
          <w:rFonts w:ascii="Times New Roman"/>
          <w:b/>
          <w:i w:val="false"/>
          <w:color w:val="000000"/>
        </w:rPr>
        <w:t xml:space="preserve"> Глава 2. Корпоративное управление</w:t>
      </w:r>
    </w:p>
    <w:bookmarkEnd w:id="17"/>
    <w:bookmarkStart w:name="z24" w:id="18"/>
    <w:p>
      <w:pPr>
        <w:spacing w:after="0"/>
        <w:ind w:left="0"/>
        <w:jc w:val="both"/>
      </w:pPr>
      <w:r>
        <w:rPr>
          <w:rFonts w:ascii="Times New Roman"/>
          <w:b w:val="false"/>
          <w:i w:val="false"/>
          <w:color w:val="000000"/>
          <w:sz w:val="28"/>
        </w:rPr>
        <w:t>
      4.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 наличие эффективной системы корпоративного управления банковского конгломерата в целях поддержания финансовой устойчивости участников банковского конгломерата и банковского конгломерата в целом, а также защиты законных прав акционеров и вкладчиков, кредиторов (где это применимо).</w:t>
      </w:r>
    </w:p>
    <w:bookmarkEnd w:id="18"/>
    <w:bookmarkStart w:name="z25" w:id="19"/>
    <w:p>
      <w:pPr>
        <w:spacing w:after="0"/>
        <w:ind w:left="0"/>
        <w:jc w:val="both"/>
      </w:pPr>
      <w:r>
        <w:rPr>
          <w:rFonts w:ascii="Times New Roman"/>
          <w:b w:val="false"/>
          <w:i w:val="false"/>
          <w:color w:val="000000"/>
          <w:sz w:val="28"/>
        </w:rPr>
        <w:t>
      5. Эффективная структура корпоративного управления банковского конгломерата включает:</w:t>
      </w:r>
    </w:p>
    <w:bookmarkEnd w:id="19"/>
    <w:bookmarkStart w:name="z26" w:id="20"/>
    <w:p>
      <w:pPr>
        <w:spacing w:after="0"/>
        <w:ind w:left="0"/>
        <w:jc w:val="both"/>
      </w:pPr>
      <w:r>
        <w:rPr>
          <w:rFonts w:ascii="Times New Roman"/>
          <w:b w:val="false"/>
          <w:i w:val="false"/>
          <w:color w:val="000000"/>
          <w:sz w:val="28"/>
        </w:rPr>
        <w:t>
      1) структуру банковского конгломерата;</w:t>
      </w:r>
    </w:p>
    <w:bookmarkEnd w:id="20"/>
    <w:bookmarkStart w:name="z27" w:id="21"/>
    <w:p>
      <w:pPr>
        <w:spacing w:after="0"/>
        <w:ind w:left="0"/>
        <w:jc w:val="both"/>
      </w:pPr>
      <w:r>
        <w:rPr>
          <w:rFonts w:ascii="Times New Roman"/>
          <w:b w:val="false"/>
          <w:i w:val="false"/>
          <w:color w:val="000000"/>
          <w:sz w:val="28"/>
        </w:rPr>
        <w:t>
      2) стратегию развития банковского конгломерата;</w:t>
      </w:r>
    </w:p>
    <w:bookmarkEnd w:id="21"/>
    <w:bookmarkStart w:name="z28" w:id="22"/>
    <w:p>
      <w:pPr>
        <w:spacing w:after="0"/>
        <w:ind w:left="0"/>
        <w:jc w:val="both"/>
      </w:pPr>
      <w:r>
        <w:rPr>
          <w:rFonts w:ascii="Times New Roman"/>
          <w:b w:val="false"/>
          <w:i w:val="false"/>
          <w:color w:val="000000"/>
          <w:sz w:val="28"/>
        </w:rPr>
        <w:t>
      3) распределение обязанностей и полномочий в части принятия решений между органами участников банковского конгломерата;</w:t>
      </w:r>
    </w:p>
    <w:bookmarkEnd w:id="22"/>
    <w:bookmarkStart w:name="z29" w:id="23"/>
    <w:p>
      <w:pPr>
        <w:spacing w:after="0"/>
        <w:ind w:left="0"/>
        <w:jc w:val="both"/>
      </w:pPr>
      <w:r>
        <w:rPr>
          <w:rFonts w:ascii="Times New Roman"/>
          <w:b w:val="false"/>
          <w:i w:val="false"/>
          <w:color w:val="000000"/>
          <w:sz w:val="28"/>
        </w:rPr>
        <w:t>
      4) механизмы взаимодействия между органами организации верхнего уровня банковского конгломерата с внешними и внутренними аудиторами банковского конгломерата;</w:t>
      </w:r>
    </w:p>
    <w:bookmarkEnd w:id="23"/>
    <w:bookmarkStart w:name="z30" w:id="24"/>
    <w:p>
      <w:pPr>
        <w:spacing w:after="0"/>
        <w:ind w:left="0"/>
        <w:jc w:val="both"/>
      </w:pPr>
      <w:r>
        <w:rPr>
          <w:rFonts w:ascii="Times New Roman"/>
          <w:b w:val="false"/>
          <w:i w:val="false"/>
          <w:color w:val="000000"/>
          <w:sz w:val="28"/>
        </w:rPr>
        <w:t>
      5) систему управления рисками банковского конгломерата;</w:t>
      </w:r>
    </w:p>
    <w:bookmarkEnd w:id="24"/>
    <w:bookmarkStart w:name="z31" w:id="25"/>
    <w:p>
      <w:pPr>
        <w:spacing w:after="0"/>
        <w:ind w:left="0"/>
        <w:jc w:val="both"/>
      </w:pPr>
      <w:r>
        <w:rPr>
          <w:rFonts w:ascii="Times New Roman"/>
          <w:b w:val="false"/>
          <w:i w:val="false"/>
          <w:color w:val="000000"/>
          <w:sz w:val="28"/>
        </w:rPr>
        <w:t>
      6) систему внутреннего контроля банковского конгломерата;</w:t>
      </w:r>
    </w:p>
    <w:bookmarkEnd w:id="25"/>
    <w:bookmarkStart w:name="z32" w:id="26"/>
    <w:p>
      <w:pPr>
        <w:spacing w:after="0"/>
        <w:ind w:left="0"/>
        <w:jc w:val="both"/>
      </w:pPr>
      <w:r>
        <w:rPr>
          <w:rFonts w:ascii="Times New Roman"/>
          <w:b w:val="false"/>
          <w:i w:val="false"/>
          <w:color w:val="000000"/>
          <w:sz w:val="28"/>
        </w:rPr>
        <w:t>
      7) контроль соответствия руководящих работников регулируемых участников банковского конгломерата требованиям к безупречной деловой репутации, квалификационным требованиям, установленным законами Республики Казахстан, в целях обеспечения финансовой стабильности регулируемых участников банковского конгломерата;</w:t>
      </w:r>
    </w:p>
    <w:bookmarkEnd w:id="26"/>
    <w:bookmarkStart w:name="z33" w:id="27"/>
    <w:p>
      <w:pPr>
        <w:spacing w:after="0"/>
        <w:ind w:left="0"/>
        <w:jc w:val="both"/>
      </w:pPr>
      <w:r>
        <w:rPr>
          <w:rFonts w:ascii="Times New Roman"/>
          <w:b w:val="false"/>
          <w:i w:val="false"/>
          <w:color w:val="000000"/>
          <w:sz w:val="28"/>
        </w:rPr>
        <w:t>
      8) систему вознаграждения руководящих работников регулируемых участников банковского конгломерата;</w:t>
      </w:r>
    </w:p>
    <w:bookmarkEnd w:id="27"/>
    <w:bookmarkStart w:name="z34" w:id="28"/>
    <w:p>
      <w:pPr>
        <w:spacing w:after="0"/>
        <w:ind w:left="0"/>
        <w:jc w:val="both"/>
      </w:pPr>
      <w:r>
        <w:rPr>
          <w:rFonts w:ascii="Times New Roman"/>
          <w:b w:val="false"/>
          <w:i w:val="false"/>
          <w:color w:val="000000"/>
          <w:sz w:val="28"/>
        </w:rPr>
        <w:t>
      9) прозрачность корпоративного управления организаций публичного интереса, являющихся участниками банковского конгломерата;</w:t>
      </w:r>
    </w:p>
    <w:bookmarkEnd w:id="28"/>
    <w:bookmarkStart w:name="z35" w:id="29"/>
    <w:p>
      <w:pPr>
        <w:spacing w:after="0"/>
        <w:ind w:left="0"/>
        <w:jc w:val="both"/>
      </w:pPr>
      <w:r>
        <w:rPr>
          <w:rFonts w:ascii="Times New Roman"/>
          <w:b w:val="false"/>
          <w:i w:val="false"/>
          <w:color w:val="000000"/>
          <w:sz w:val="28"/>
        </w:rPr>
        <w:t>
      10) наличие адекватной системы управленческой отчетности банковского конгломерата.</w:t>
      </w:r>
    </w:p>
    <w:bookmarkEnd w:id="29"/>
    <w:bookmarkStart w:name="z36" w:id="30"/>
    <w:p>
      <w:pPr>
        <w:spacing w:after="0"/>
        <w:ind w:left="0"/>
        <w:jc w:val="both"/>
      </w:pPr>
      <w:r>
        <w:rPr>
          <w:rFonts w:ascii="Times New Roman"/>
          <w:b w:val="false"/>
          <w:i w:val="false"/>
          <w:color w:val="000000"/>
          <w:sz w:val="28"/>
        </w:rPr>
        <w:t>
      6. В структуре банковского конгломерата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 создание и функционирование системы корпоративного управления участников банковского конгломерата, соответствующих их структуре, а также внутреннюю систему управления рисками банковского конгломерата с учетом специфики их деятельности и особенностей регулирования страны их регистрации (в случаях, когда участники банковского конгломерата зарегистрированы на территории иностранного государства).</w:t>
      </w:r>
    </w:p>
    <w:bookmarkEnd w:id="30"/>
    <w:bookmarkStart w:name="z37" w:id="31"/>
    <w:p>
      <w:pPr>
        <w:spacing w:after="0"/>
        <w:ind w:left="0"/>
        <w:jc w:val="both"/>
      </w:pPr>
      <w:r>
        <w:rPr>
          <w:rFonts w:ascii="Times New Roman"/>
          <w:b w:val="false"/>
          <w:i w:val="false"/>
          <w:color w:val="000000"/>
          <w:sz w:val="28"/>
        </w:rPr>
        <w:t>
      7.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w:t>
      </w:r>
    </w:p>
    <w:bookmarkEnd w:id="31"/>
    <w:bookmarkStart w:name="z38" w:id="32"/>
    <w:p>
      <w:pPr>
        <w:spacing w:after="0"/>
        <w:ind w:left="0"/>
        <w:jc w:val="both"/>
      </w:pPr>
      <w:r>
        <w:rPr>
          <w:rFonts w:ascii="Times New Roman"/>
          <w:b w:val="false"/>
          <w:i w:val="false"/>
          <w:color w:val="000000"/>
          <w:sz w:val="28"/>
        </w:rPr>
        <w:t>
      1) обеспечивает наличие должных процедур и методов контроля в системе корпоративного управления банковского конгломерата, включая выявления и устранения потенциальных конфликтов интересов, возникающих в том числе в связи с внутригрупповыми операциями;</w:t>
      </w:r>
    </w:p>
    <w:bookmarkEnd w:id="32"/>
    <w:bookmarkStart w:name="z39" w:id="33"/>
    <w:p>
      <w:pPr>
        <w:spacing w:after="0"/>
        <w:ind w:left="0"/>
        <w:jc w:val="both"/>
      </w:pPr>
      <w:r>
        <w:rPr>
          <w:rFonts w:ascii="Times New Roman"/>
          <w:b w:val="false"/>
          <w:i w:val="false"/>
          <w:color w:val="000000"/>
          <w:sz w:val="28"/>
        </w:rPr>
        <w:t>
      2) утверждает стратегию развития банковского конгломерата и его участников;</w:t>
      </w:r>
    </w:p>
    <w:bookmarkEnd w:id="33"/>
    <w:bookmarkStart w:name="z40" w:id="34"/>
    <w:p>
      <w:pPr>
        <w:spacing w:after="0"/>
        <w:ind w:left="0"/>
        <w:jc w:val="both"/>
      </w:pPr>
      <w:r>
        <w:rPr>
          <w:rFonts w:ascii="Times New Roman"/>
          <w:b w:val="false"/>
          <w:i w:val="false"/>
          <w:color w:val="000000"/>
          <w:sz w:val="28"/>
        </w:rPr>
        <w:t>
      3) обеспечивает наличие эффективной системы обмена информацией между организацией верхнего уровня банковского конгломерата и его участниками для целей управления рисками участников банковского конгломерата и обеспечения эффективного контроля за деятельностью участников банковского конгломерата;</w:t>
      </w:r>
    </w:p>
    <w:bookmarkEnd w:id="34"/>
    <w:bookmarkStart w:name="z41" w:id="35"/>
    <w:p>
      <w:pPr>
        <w:spacing w:after="0"/>
        <w:ind w:left="0"/>
        <w:jc w:val="both"/>
      </w:pPr>
      <w:r>
        <w:rPr>
          <w:rFonts w:ascii="Times New Roman"/>
          <w:b w:val="false"/>
          <w:i w:val="false"/>
          <w:color w:val="000000"/>
          <w:sz w:val="28"/>
        </w:rPr>
        <w:t>
      4) обеспечивает наличие эффективной службы внутреннего аудита, обеспечивающей проведение аудиторских проверок с применением риск-ориентированного подхода;</w:t>
      </w:r>
    </w:p>
    <w:bookmarkEnd w:id="35"/>
    <w:bookmarkStart w:name="z42" w:id="36"/>
    <w:p>
      <w:pPr>
        <w:spacing w:after="0"/>
        <w:ind w:left="0"/>
        <w:jc w:val="both"/>
      </w:pPr>
      <w:r>
        <w:rPr>
          <w:rFonts w:ascii="Times New Roman"/>
          <w:b w:val="false"/>
          <w:i w:val="false"/>
          <w:color w:val="000000"/>
          <w:sz w:val="28"/>
        </w:rPr>
        <w:t>
      5) обеспечивает наличие эффективной системы управления рисками банковского конгломерата;</w:t>
      </w:r>
    </w:p>
    <w:bookmarkEnd w:id="36"/>
    <w:bookmarkStart w:name="z43" w:id="37"/>
    <w:p>
      <w:pPr>
        <w:spacing w:after="0"/>
        <w:ind w:left="0"/>
        <w:jc w:val="both"/>
      </w:pPr>
      <w:r>
        <w:rPr>
          <w:rFonts w:ascii="Times New Roman"/>
          <w:b w:val="false"/>
          <w:i w:val="false"/>
          <w:color w:val="000000"/>
          <w:sz w:val="28"/>
        </w:rPr>
        <w:t>
      6) организация верхнего уровня банковского конгломерата определяет участника, который выполняет стресс-тестирование и составляет для банковского конгломерата:</w:t>
      </w:r>
    </w:p>
    <w:bookmarkEnd w:id="37"/>
    <w:bookmarkStart w:name="z44" w:id="38"/>
    <w:p>
      <w:pPr>
        <w:spacing w:after="0"/>
        <w:ind w:left="0"/>
        <w:jc w:val="both"/>
      </w:pPr>
      <w:r>
        <w:rPr>
          <w:rFonts w:ascii="Times New Roman"/>
          <w:b w:val="false"/>
          <w:i w:val="false"/>
          <w:color w:val="000000"/>
          <w:sz w:val="28"/>
        </w:rPr>
        <w:t>
      сводную управленческую отчетность;</w:t>
      </w:r>
    </w:p>
    <w:bookmarkEnd w:id="38"/>
    <w:bookmarkStart w:name="z45" w:id="39"/>
    <w:p>
      <w:pPr>
        <w:spacing w:after="0"/>
        <w:ind w:left="0"/>
        <w:jc w:val="both"/>
      </w:pPr>
      <w:r>
        <w:rPr>
          <w:rFonts w:ascii="Times New Roman"/>
          <w:b w:val="false"/>
          <w:i w:val="false"/>
          <w:color w:val="000000"/>
          <w:sz w:val="28"/>
        </w:rPr>
        <w:t>
      групповой план финансирования на случай непредвиденных обстоятельств;</w:t>
      </w:r>
    </w:p>
    <w:bookmarkEnd w:id="39"/>
    <w:bookmarkStart w:name="z46" w:id="40"/>
    <w:p>
      <w:pPr>
        <w:spacing w:after="0"/>
        <w:ind w:left="0"/>
        <w:jc w:val="both"/>
      </w:pPr>
      <w:r>
        <w:rPr>
          <w:rFonts w:ascii="Times New Roman"/>
          <w:b w:val="false"/>
          <w:i w:val="false"/>
          <w:color w:val="000000"/>
          <w:sz w:val="28"/>
        </w:rPr>
        <w:t>
      заявление риск-аппетита;</w:t>
      </w:r>
    </w:p>
    <w:bookmarkEnd w:id="40"/>
    <w:bookmarkStart w:name="z47" w:id="41"/>
    <w:p>
      <w:pPr>
        <w:spacing w:after="0"/>
        <w:ind w:left="0"/>
        <w:jc w:val="both"/>
      </w:pPr>
      <w:r>
        <w:rPr>
          <w:rFonts w:ascii="Times New Roman"/>
          <w:b w:val="false"/>
          <w:i w:val="false"/>
          <w:color w:val="000000"/>
          <w:sz w:val="28"/>
        </w:rPr>
        <w:t>
      уровни риск-аппетита.</w:t>
      </w:r>
    </w:p>
    <w:bookmarkEnd w:id="41"/>
    <w:bookmarkStart w:name="z48" w:id="42"/>
    <w:p>
      <w:pPr>
        <w:spacing w:after="0"/>
        <w:ind w:left="0"/>
        <w:jc w:val="both"/>
      </w:pPr>
      <w:r>
        <w:rPr>
          <w:rFonts w:ascii="Times New Roman"/>
          <w:b w:val="false"/>
          <w:i w:val="false"/>
          <w:color w:val="000000"/>
          <w:sz w:val="28"/>
        </w:rPr>
        <w:t>
      Используемые участниками банковского конгломерата процедуры и методы поддерживают эффективность управления рисками на уровне всего банковского конгломерата.</w:t>
      </w:r>
    </w:p>
    <w:bookmarkEnd w:id="42"/>
    <w:bookmarkStart w:name="z49" w:id="43"/>
    <w:p>
      <w:pPr>
        <w:spacing w:after="0"/>
        <w:ind w:left="0"/>
        <w:jc w:val="both"/>
      </w:pPr>
      <w:r>
        <w:rPr>
          <w:rFonts w:ascii="Times New Roman"/>
          <w:b w:val="false"/>
          <w:i w:val="false"/>
          <w:color w:val="000000"/>
          <w:sz w:val="28"/>
        </w:rPr>
        <w:t>
      8. Организация верхнего уровня банковского конгломерата осуществляет стратегическое управление рисками в рамках банковского конгломерата и внедряет политику управления рисками на уровне банковского конгломерата с учетом требования законодательства стран регистрации участников банковского конгломерата.</w:t>
      </w:r>
    </w:p>
    <w:bookmarkEnd w:id="43"/>
    <w:bookmarkStart w:name="z50" w:id="44"/>
    <w:p>
      <w:pPr>
        <w:spacing w:after="0"/>
        <w:ind w:left="0"/>
        <w:jc w:val="both"/>
      </w:pPr>
      <w:r>
        <w:rPr>
          <w:rFonts w:ascii="Times New Roman"/>
          <w:b w:val="false"/>
          <w:i w:val="false"/>
          <w:color w:val="000000"/>
          <w:sz w:val="28"/>
        </w:rPr>
        <w:t>
      9. Организация верхнего уровня банковского конгломерата обеспечивает участников банковского конгломерата необходимыми ресурсами и полномочиями, а также контролирует выполнение участниками банковского конгломерата обязательств по предоставлению регулярной управленческой информации о своей деятельности, определяемой внутренними документами участников банковского конгломерата.</w:t>
      </w:r>
    </w:p>
    <w:bookmarkEnd w:id="44"/>
    <w:bookmarkStart w:name="z51" w:id="45"/>
    <w:p>
      <w:pPr>
        <w:spacing w:after="0"/>
        <w:ind w:left="0"/>
        <w:jc w:val="both"/>
      </w:pPr>
      <w:r>
        <w:rPr>
          <w:rFonts w:ascii="Times New Roman"/>
          <w:b w:val="false"/>
          <w:i w:val="false"/>
          <w:color w:val="000000"/>
          <w:sz w:val="28"/>
        </w:rPr>
        <w:t>
      10. Стратегические цели, система управления рисками, корпоративные ценности и принципы корпоративного управления участников банковского конгломерата соответствуют политикам организации верхнего уровня банковского конгломерата, при этом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вносит соответствующие изменения в стратегические цели, систему управления рисками, корпоративные ценности и принципы корпоративного управления участников банковского конгломерата в случаях возникновения противоречий между политикой банковского конгломерата и банковским законодательством Республики Казахстан, регулирующим деятельность участника банковского конгломерата, а также в случае невозможности осуществления эффективного управления участником банковского конгломерата отдельных положений политики группы.</w:t>
      </w:r>
    </w:p>
    <w:bookmarkEnd w:id="45"/>
    <w:bookmarkStart w:name="z52" w:id="46"/>
    <w:p>
      <w:pPr>
        <w:spacing w:after="0"/>
        <w:ind w:left="0"/>
        <w:jc w:val="left"/>
      </w:pPr>
      <w:r>
        <w:rPr>
          <w:rFonts w:ascii="Times New Roman"/>
          <w:b/>
          <w:i w:val="false"/>
          <w:color w:val="000000"/>
        </w:rPr>
        <w:t xml:space="preserve"> Глава 3. Управление капиталом банковского конгломерата</w:t>
      </w:r>
    </w:p>
    <w:bookmarkEnd w:id="46"/>
    <w:bookmarkStart w:name="z53" w:id="47"/>
    <w:p>
      <w:pPr>
        <w:spacing w:after="0"/>
        <w:ind w:left="0"/>
        <w:jc w:val="both"/>
      </w:pPr>
      <w:r>
        <w:rPr>
          <w:rFonts w:ascii="Times New Roman"/>
          <w:b w:val="false"/>
          <w:i w:val="false"/>
          <w:color w:val="000000"/>
          <w:sz w:val="28"/>
        </w:rPr>
        <w:t>
      11.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утверждает политику управления капиталом банковского конгломерата. Политика управления капиталом банковского конгломерата учитывает существенные риски, присущие деятельности всех участников банковского конгломерата, в том числе риски, связанные с деятельностью участников банковского конгломерата, не являющихся финансовыми организациями (далее – нерегулируемые участники банковского конгломерата).</w:t>
      </w:r>
    </w:p>
    <w:bookmarkEnd w:id="47"/>
    <w:bookmarkStart w:name="z54" w:id="48"/>
    <w:p>
      <w:pPr>
        <w:spacing w:after="0"/>
        <w:ind w:left="0"/>
        <w:jc w:val="both"/>
      </w:pPr>
      <w:r>
        <w:rPr>
          <w:rFonts w:ascii="Times New Roman"/>
          <w:b w:val="false"/>
          <w:i w:val="false"/>
          <w:color w:val="000000"/>
          <w:sz w:val="28"/>
        </w:rPr>
        <w:t>
      12. Политика управления капиталом банковского конгломерата включает:</w:t>
      </w:r>
    </w:p>
    <w:bookmarkEnd w:id="48"/>
    <w:bookmarkStart w:name="z55" w:id="49"/>
    <w:p>
      <w:pPr>
        <w:spacing w:after="0"/>
        <w:ind w:left="0"/>
        <w:jc w:val="both"/>
      </w:pPr>
      <w:r>
        <w:rPr>
          <w:rFonts w:ascii="Times New Roman"/>
          <w:b w:val="false"/>
          <w:i w:val="false"/>
          <w:color w:val="000000"/>
          <w:sz w:val="28"/>
        </w:rPr>
        <w:t>
      1) четко документированный процесс планирования капитала банковского конгломерата, обеспечивающий соблюдения требований к капиталу в масштабах всего банковского конгломерата и капиталу регулируемых участников банковского конгломерата;</w:t>
      </w:r>
    </w:p>
    <w:bookmarkEnd w:id="49"/>
    <w:bookmarkStart w:name="z56" w:id="50"/>
    <w:p>
      <w:pPr>
        <w:spacing w:after="0"/>
        <w:ind w:left="0"/>
        <w:jc w:val="both"/>
      </w:pPr>
      <w:r>
        <w:rPr>
          <w:rFonts w:ascii="Times New Roman"/>
          <w:b w:val="false"/>
          <w:i w:val="false"/>
          <w:color w:val="000000"/>
          <w:sz w:val="28"/>
        </w:rPr>
        <w:t>
      2) оценку достаточности капитала банковского конгломерата;</w:t>
      </w:r>
    </w:p>
    <w:bookmarkEnd w:id="50"/>
    <w:bookmarkStart w:name="z57" w:id="51"/>
    <w:p>
      <w:pPr>
        <w:spacing w:after="0"/>
        <w:ind w:left="0"/>
        <w:jc w:val="both"/>
      </w:pPr>
      <w:r>
        <w:rPr>
          <w:rFonts w:ascii="Times New Roman"/>
          <w:b w:val="false"/>
          <w:i w:val="false"/>
          <w:color w:val="000000"/>
          <w:sz w:val="28"/>
        </w:rPr>
        <w:t>
      3) меры по обеспечению и поддержанию достаточного уровня капитала банковского конгломерата.</w:t>
      </w:r>
    </w:p>
    <w:bookmarkEnd w:id="51"/>
    <w:bookmarkStart w:name="z58" w:id="52"/>
    <w:p>
      <w:pPr>
        <w:spacing w:after="0"/>
        <w:ind w:left="0"/>
        <w:jc w:val="both"/>
      </w:pPr>
      <w:r>
        <w:rPr>
          <w:rFonts w:ascii="Times New Roman"/>
          <w:b w:val="false"/>
          <w:i w:val="false"/>
          <w:color w:val="000000"/>
          <w:sz w:val="28"/>
        </w:rPr>
        <w:t>
      13. Процесс планирования капитала:</w:t>
      </w:r>
    </w:p>
    <w:bookmarkEnd w:id="52"/>
    <w:bookmarkStart w:name="z59" w:id="53"/>
    <w:p>
      <w:pPr>
        <w:spacing w:after="0"/>
        <w:ind w:left="0"/>
        <w:jc w:val="both"/>
      </w:pPr>
      <w:r>
        <w:rPr>
          <w:rFonts w:ascii="Times New Roman"/>
          <w:b w:val="false"/>
          <w:i w:val="false"/>
          <w:color w:val="000000"/>
          <w:sz w:val="28"/>
        </w:rPr>
        <w:t>
      1) включает цели достаточности капитала в отношении степени и типа подверженности риску с учетом стратегии направленности и бизнес-плана банковского конгломерата;</w:t>
      </w:r>
    </w:p>
    <w:bookmarkEnd w:id="53"/>
    <w:bookmarkStart w:name="z60" w:id="54"/>
    <w:p>
      <w:pPr>
        <w:spacing w:after="0"/>
        <w:ind w:left="0"/>
        <w:jc w:val="both"/>
      </w:pPr>
      <w:r>
        <w:rPr>
          <w:rFonts w:ascii="Times New Roman"/>
          <w:b w:val="false"/>
          <w:i w:val="false"/>
          <w:color w:val="000000"/>
          <w:sz w:val="28"/>
        </w:rPr>
        <w:t>
      2) учитывает профиль рисков и риск-аппетит (при наличии) участников банковского конгломерата, а также возможные существенные риски со стороны участников банковского конгломерата;</w:t>
      </w:r>
    </w:p>
    <w:bookmarkEnd w:id="54"/>
    <w:bookmarkStart w:name="z61" w:id="55"/>
    <w:p>
      <w:pPr>
        <w:spacing w:after="0"/>
        <w:ind w:left="0"/>
        <w:jc w:val="both"/>
      </w:pPr>
      <w:r>
        <w:rPr>
          <w:rFonts w:ascii="Times New Roman"/>
          <w:b w:val="false"/>
          <w:i w:val="false"/>
          <w:color w:val="000000"/>
          <w:sz w:val="28"/>
        </w:rPr>
        <w:t>
      3) выявляет и измеряет существенные риски, потенциально требующие дополнительного капитала. Учитывает риски как по балансовым, так и внебалансовым статьям, а также деятельность и существенные риски нерегулируемых участников банковского конгломерата на капитал банковского конгломерата. Риски рассматриваются как в отдельности (по типам), так и их совокупное влияние;</w:t>
      </w:r>
    </w:p>
    <w:bookmarkEnd w:id="55"/>
    <w:bookmarkStart w:name="z62" w:id="56"/>
    <w:p>
      <w:pPr>
        <w:spacing w:after="0"/>
        <w:ind w:left="0"/>
        <w:jc w:val="both"/>
      </w:pPr>
      <w:r>
        <w:rPr>
          <w:rFonts w:ascii="Times New Roman"/>
          <w:b w:val="false"/>
          <w:i w:val="false"/>
          <w:color w:val="000000"/>
          <w:sz w:val="28"/>
        </w:rPr>
        <w:t>
      4) определяет внутренние целевые показатели капитала банковского конгломерата и процедуры оповещения совета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 потенциальных нарушениях этих показателей, а также наличие плана финансирования на случай непредвиденных обстоятельств. В план финансирования, в том числе включаются действия совета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в случаях ухудшения капитальной позиции ниже целевого показателя;</w:t>
      </w:r>
    </w:p>
    <w:bookmarkEnd w:id="56"/>
    <w:bookmarkStart w:name="z63" w:id="57"/>
    <w:p>
      <w:pPr>
        <w:spacing w:after="0"/>
        <w:ind w:left="0"/>
        <w:jc w:val="both"/>
      </w:pPr>
      <w:r>
        <w:rPr>
          <w:rFonts w:ascii="Times New Roman"/>
          <w:b w:val="false"/>
          <w:i w:val="false"/>
          <w:color w:val="000000"/>
          <w:sz w:val="28"/>
        </w:rPr>
        <w:t>
      5) учитывает уровень капитала всех участников банковского конгломерата, включая нормативные, правовые и другие ограничения перевода капитала между субъектами, секторами экономики и юрисдикциями, в которых функционирует банковский конгломерат;</w:t>
      </w:r>
    </w:p>
    <w:bookmarkEnd w:id="57"/>
    <w:bookmarkStart w:name="z64" w:id="58"/>
    <w:p>
      <w:pPr>
        <w:spacing w:after="0"/>
        <w:ind w:left="0"/>
        <w:jc w:val="both"/>
      </w:pPr>
      <w:r>
        <w:rPr>
          <w:rFonts w:ascii="Times New Roman"/>
          <w:b w:val="false"/>
          <w:i w:val="false"/>
          <w:color w:val="000000"/>
          <w:sz w:val="28"/>
        </w:rPr>
        <w:t>
      6) учитывает внутригрупповые гарантии, потенциальные будущие вливания капитала и управленческие решения при установлении внутреннего целевого показателя капитала участников банковского конгломерата;</w:t>
      </w:r>
    </w:p>
    <w:bookmarkEnd w:id="58"/>
    <w:bookmarkStart w:name="z65" w:id="59"/>
    <w:p>
      <w:pPr>
        <w:spacing w:after="0"/>
        <w:ind w:left="0"/>
        <w:jc w:val="both"/>
      </w:pPr>
      <w:r>
        <w:rPr>
          <w:rFonts w:ascii="Times New Roman"/>
          <w:b w:val="false"/>
          <w:i w:val="false"/>
          <w:color w:val="000000"/>
          <w:sz w:val="28"/>
        </w:rPr>
        <w:t>
      7) учитывает текущие и прогнозируемые деловые и макроэкономические условия, включает результаты стресс-тестирования, которые выявляют возможные события или изменения в рыночных условиях и их негативное влияние на позицию капитала банковского конгломерата.</w:t>
      </w:r>
    </w:p>
    <w:bookmarkEnd w:id="59"/>
    <w:bookmarkStart w:name="z66" w:id="60"/>
    <w:p>
      <w:pPr>
        <w:spacing w:after="0"/>
        <w:ind w:left="0"/>
        <w:jc w:val="both"/>
      </w:pPr>
      <w:r>
        <w:rPr>
          <w:rFonts w:ascii="Times New Roman"/>
          <w:b w:val="false"/>
          <w:i w:val="false"/>
          <w:color w:val="000000"/>
          <w:sz w:val="28"/>
        </w:rPr>
        <w:t>
      14. Оценка достаточности капитала банковского конгломерата:</w:t>
      </w:r>
    </w:p>
    <w:bookmarkEnd w:id="60"/>
    <w:bookmarkStart w:name="z67" w:id="61"/>
    <w:p>
      <w:pPr>
        <w:spacing w:after="0"/>
        <w:ind w:left="0"/>
        <w:jc w:val="both"/>
      </w:pPr>
      <w:r>
        <w:rPr>
          <w:rFonts w:ascii="Times New Roman"/>
          <w:b w:val="false"/>
          <w:i w:val="false"/>
          <w:color w:val="000000"/>
          <w:sz w:val="28"/>
        </w:rPr>
        <w:t>
      1) включает оценку достаточности капитала участников банковского конгломерата;</w:t>
      </w:r>
    </w:p>
    <w:bookmarkEnd w:id="61"/>
    <w:bookmarkStart w:name="z68" w:id="62"/>
    <w:p>
      <w:pPr>
        <w:spacing w:after="0"/>
        <w:ind w:left="0"/>
        <w:jc w:val="both"/>
      </w:pPr>
      <w:r>
        <w:rPr>
          <w:rFonts w:ascii="Times New Roman"/>
          <w:b w:val="false"/>
          <w:i w:val="false"/>
          <w:color w:val="000000"/>
          <w:sz w:val="28"/>
        </w:rPr>
        <w:t>
      2) учитывает принимаемые риски на консолидированной основе, в том числе существенные риски, присущие деятельности нерегулируемых участников банковского конгломерата;</w:t>
      </w:r>
    </w:p>
    <w:bookmarkEnd w:id="62"/>
    <w:bookmarkStart w:name="z69" w:id="63"/>
    <w:p>
      <w:pPr>
        <w:spacing w:after="0"/>
        <w:ind w:left="0"/>
        <w:jc w:val="both"/>
      </w:pPr>
      <w:r>
        <w:rPr>
          <w:rFonts w:ascii="Times New Roman"/>
          <w:b w:val="false"/>
          <w:i w:val="false"/>
          <w:color w:val="000000"/>
          <w:sz w:val="28"/>
        </w:rPr>
        <w:t>
      3) учитывает исключение влияния внутригрупповых операций на показатели отчетности банковского конгломерата в виде требований и (или) обязательств между участниками банковского конгломерата.</w:t>
      </w:r>
    </w:p>
    <w:bookmarkEnd w:id="63"/>
    <w:bookmarkStart w:name="z70" w:id="64"/>
    <w:p>
      <w:pPr>
        <w:spacing w:after="0"/>
        <w:ind w:left="0"/>
        <w:jc w:val="both"/>
      </w:pPr>
      <w:r>
        <w:rPr>
          <w:rFonts w:ascii="Times New Roman"/>
          <w:b w:val="false"/>
          <w:i w:val="false"/>
          <w:color w:val="000000"/>
          <w:sz w:val="28"/>
        </w:rPr>
        <w:t>
      15. Меры по обеспечению и поддержанию достаточного уровня капитала банковского конгломерата содержат (но, не ограничиваются):</w:t>
      </w:r>
    </w:p>
    <w:bookmarkEnd w:id="64"/>
    <w:bookmarkStart w:name="z71" w:id="65"/>
    <w:p>
      <w:pPr>
        <w:spacing w:after="0"/>
        <w:ind w:left="0"/>
        <w:jc w:val="both"/>
      </w:pPr>
      <w:r>
        <w:rPr>
          <w:rFonts w:ascii="Times New Roman"/>
          <w:b w:val="false"/>
          <w:i w:val="false"/>
          <w:color w:val="000000"/>
          <w:sz w:val="28"/>
        </w:rPr>
        <w:t>
      1) условия и порядок применения мер по обеспечению и поддержанию достаточного уровня капитала банковского конгломерата;</w:t>
      </w:r>
    </w:p>
    <w:bookmarkEnd w:id="65"/>
    <w:bookmarkStart w:name="z72" w:id="66"/>
    <w:p>
      <w:pPr>
        <w:spacing w:after="0"/>
        <w:ind w:left="0"/>
        <w:jc w:val="both"/>
      </w:pPr>
      <w:r>
        <w:rPr>
          <w:rFonts w:ascii="Times New Roman"/>
          <w:b w:val="false"/>
          <w:i w:val="false"/>
          <w:color w:val="000000"/>
          <w:sz w:val="28"/>
        </w:rPr>
        <w:t>
      2) перечень мер по постоянному обеспечению и поддержанию достаточности капитала банковского конгломерата;</w:t>
      </w:r>
    </w:p>
    <w:bookmarkEnd w:id="66"/>
    <w:bookmarkStart w:name="z73" w:id="67"/>
    <w:p>
      <w:pPr>
        <w:spacing w:after="0"/>
        <w:ind w:left="0"/>
        <w:jc w:val="both"/>
      </w:pPr>
      <w:r>
        <w:rPr>
          <w:rFonts w:ascii="Times New Roman"/>
          <w:b w:val="false"/>
          <w:i w:val="false"/>
          <w:color w:val="000000"/>
          <w:sz w:val="28"/>
        </w:rPr>
        <w:t>
      3) перечень мер по постоянному оперативному обеспечению и поддержанию достаточности капитала банковского конгломерата.</w:t>
      </w:r>
    </w:p>
    <w:bookmarkEnd w:id="67"/>
    <w:bookmarkStart w:name="z74" w:id="68"/>
    <w:p>
      <w:pPr>
        <w:spacing w:after="0"/>
        <w:ind w:left="0"/>
        <w:jc w:val="both"/>
      </w:pPr>
      <w:r>
        <w:rPr>
          <w:rFonts w:ascii="Times New Roman"/>
          <w:b w:val="false"/>
          <w:i w:val="false"/>
          <w:color w:val="000000"/>
          <w:sz w:val="28"/>
        </w:rPr>
        <w:t>
      16. Меры постоянного обеспечения и поддержания достаточного уровня капитала банковского конгломерата включают постоянную оценку и контроль на периодической основе финансового состояния, уровня капитала, уровня подверженности существенным рискам и уровня принимаемых существенных рисков участников банковского конгломерата на основе анализа периодической управленческой информации, предоставляемой участниками банковского конгломерата.</w:t>
      </w:r>
    </w:p>
    <w:bookmarkEnd w:id="68"/>
    <w:bookmarkStart w:name="z75" w:id="69"/>
    <w:p>
      <w:pPr>
        <w:spacing w:after="0"/>
        <w:ind w:left="0"/>
        <w:jc w:val="both"/>
      </w:pPr>
      <w:r>
        <w:rPr>
          <w:rFonts w:ascii="Times New Roman"/>
          <w:b w:val="false"/>
          <w:i w:val="false"/>
          <w:color w:val="000000"/>
          <w:sz w:val="28"/>
        </w:rPr>
        <w:t>
      17. Меры оперативного обеспечения и поддержания достаточности уровня капитала банковского конгломерата включают (но, не ограничиваются):</w:t>
      </w:r>
    </w:p>
    <w:bookmarkEnd w:id="69"/>
    <w:bookmarkStart w:name="z76" w:id="70"/>
    <w:p>
      <w:pPr>
        <w:spacing w:after="0"/>
        <w:ind w:left="0"/>
        <w:jc w:val="both"/>
      </w:pPr>
      <w:r>
        <w:rPr>
          <w:rFonts w:ascii="Times New Roman"/>
          <w:b w:val="false"/>
          <w:i w:val="false"/>
          <w:color w:val="000000"/>
          <w:sz w:val="28"/>
        </w:rPr>
        <w:t>
      1) увеличение уставного капитала регулируемых участников банковского конгломерата;</w:t>
      </w:r>
    </w:p>
    <w:bookmarkEnd w:id="70"/>
    <w:bookmarkStart w:name="z77" w:id="71"/>
    <w:p>
      <w:pPr>
        <w:spacing w:after="0"/>
        <w:ind w:left="0"/>
        <w:jc w:val="both"/>
      </w:pPr>
      <w:r>
        <w:rPr>
          <w:rFonts w:ascii="Times New Roman"/>
          <w:b w:val="false"/>
          <w:i w:val="false"/>
          <w:color w:val="000000"/>
          <w:sz w:val="28"/>
        </w:rPr>
        <w:t>
      2) предоставление и (или) привлечение субординированного займа регулируемым участникам банковского конгломерата;</w:t>
      </w:r>
    </w:p>
    <w:bookmarkEnd w:id="71"/>
    <w:bookmarkStart w:name="z78" w:id="72"/>
    <w:p>
      <w:pPr>
        <w:spacing w:after="0"/>
        <w:ind w:left="0"/>
        <w:jc w:val="both"/>
      </w:pPr>
      <w:r>
        <w:rPr>
          <w:rFonts w:ascii="Times New Roman"/>
          <w:b w:val="false"/>
          <w:i w:val="false"/>
          <w:color w:val="000000"/>
          <w:sz w:val="28"/>
        </w:rPr>
        <w:t>
      3) приостановление выплаты дивидендов регулируемыми участникам банковского конгломерата;</w:t>
      </w:r>
    </w:p>
    <w:bookmarkEnd w:id="72"/>
    <w:bookmarkStart w:name="z79" w:id="73"/>
    <w:p>
      <w:pPr>
        <w:spacing w:after="0"/>
        <w:ind w:left="0"/>
        <w:jc w:val="both"/>
      </w:pPr>
      <w:r>
        <w:rPr>
          <w:rFonts w:ascii="Times New Roman"/>
          <w:b w:val="false"/>
          <w:i w:val="false"/>
          <w:color w:val="000000"/>
          <w:sz w:val="28"/>
        </w:rPr>
        <w:t>
      4) продление сроков исполнения обязательств участников банковского конгломерата перед организацией верхнего уровня банковского конгломерата, отсрочка платежей по таким обязательствам.</w:t>
      </w:r>
    </w:p>
    <w:bookmarkEnd w:id="73"/>
    <w:bookmarkStart w:name="z80" w:id="74"/>
    <w:p>
      <w:pPr>
        <w:spacing w:after="0"/>
        <w:ind w:left="0"/>
        <w:jc w:val="left"/>
      </w:pPr>
      <w:r>
        <w:rPr>
          <w:rFonts w:ascii="Times New Roman"/>
          <w:b/>
          <w:i w:val="false"/>
          <w:color w:val="000000"/>
        </w:rPr>
        <w:t xml:space="preserve"> Глава 4. Управление ликвидностью банковского конгломерата</w:t>
      </w:r>
    </w:p>
    <w:bookmarkEnd w:id="74"/>
    <w:bookmarkStart w:name="z81" w:id="75"/>
    <w:p>
      <w:pPr>
        <w:spacing w:after="0"/>
        <w:ind w:left="0"/>
        <w:jc w:val="both"/>
      </w:pPr>
      <w:r>
        <w:rPr>
          <w:rFonts w:ascii="Times New Roman"/>
          <w:b w:val="false"/>
          <w:i w:val="false"/>
          <w:color w:val="000000"/>
          <w:sz w:val="28"/>
        </w:rPr>
        <w:t>
      18.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 наличие адекватного процесса выявления, оценки, мониторинга и контроля за риском ликвидности участников банковского конгломерата на индивидуальной и на консолидированной основах.</w:t>
      </w:r>
    </w:p>
    <w:bookmarkEnd w:id="75"/>
    <w:bookmarkStart w:name="z82" w:id="76"/>
    <w:p>
      <w:pPr>
        <w:spacing w:after="0"/>
        <w:ind w:left="0"/>
        <w:jc w:val="both"/>
      </w:pPr>
      <w:r>
        <w:rPr>
          <w:rFonts w:ascii="Times New Roman"/>
          <w:b w:val="false"/>
          <w:i w:val="false"/>
          <w:color w:val="000000"/>
          <w:sz w:val="28"/>
        </w:rPr>
        <w:t>
      19.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 наличие системы управления ликвидности участников банковского конгломерата достаточного для выполнения обязательств участников по мере наступления сроков исполнения обязательств по отношению к кредиторам, не входящим в состав банковского конгломерата.</w:t>
      </w:r>
    </w:p>
    <w:bookmarkEnd w:id="76"/>
    <w:bookmarkStart w:name="z83" w:id="77"/>
    <w:p>
      <w:pPr>
        <w:spacing w:after="0"/>
        <w:ind w:left="0"/>
        <w:jc w:val="both"/>
      </w:pPr>
      <w:r>
        <w:rPr>
          <w:rFonts w:ascii="Times New Roman"/>
          <w:b w:val="false"/>
          <w:i w:val="false"/>
          <w:color w:val="000000"/>
          <w:sz w:val="28"/>
        </w:rPr>
        <w:t>
      20. Процесс управления ликвидностью банковского конгломерата, а также планы финансирования на случай непредвиденных обстоятельств соответствуют стратегии развития, масштабу деятельности банковского конгломерата, видам и сложности операций его участников, профилю рисков.</w:t>
      </w:r>
    </w:p>
    <w:bookmarkEnd w:id="77"/>
    <w:bookmarkStart w:name="z84" w:id="78"/>
    <w:p>
      <w:pPr>
        <w:spacing w:after="0"/>
        <w:ind w:left="0"/>
        <w:jc w:val="both"/>
      </w:pPr>
      <w:r>
        <w:rPr>
          <w:rFonts w:ascii="Times New Roman"/>
          <w:b w:val="false"/>
          <w:i w:val="false"/>
          <w:color w:val="000000"/>
          <w:sz w:val="28"/>
        </w:rPr>
        <w:t>
      21. Управление риском ликвидности банковского конгломерата осуществляется с помощью:</w:t>
      </w:r>
    </w:p>
    <w:bookmarkEnd w:id="78"/>
    <w:bookmarkStart w:name="z85" w:id="79"/>
    <w:p>
      <w:pPr>
        <w:spacing w:after="0"/>
        <w:ind w:left="0"/>
        <w:jc w:val="both"/>
      </w:pPr>
      <w:r>
        <w:rPr>
          <w:rFonts w:ascii="Times New Roman"/>
          <w:b w:val="false"/>
          <w:i w:val="false"/>
          <w:color w:val="000000"/>
          <w:sz w:val="28"/>
        </w:rPr>
        <w:t>
      1) эффективного управления и контроля в случаях возникновения риска ликвидности;</w:t>
      </w:r>
    </w:p>
    <w:bookmarkEnd w:id="79"/>
    <w:bookmarkStart w:name="z86" w:id="80"/>
    <w:p>
      <w:pPr>
        <w:spacing w:after="0"/>
        <w:ind w:left="0"/>
        <w:jc w:val="both"/>
      </w:pPr>
      <w:r>
        <w:rPr>
          <w:rFonts w:ascii="Times New Roman"/>
          <w:b w:val="false"/>
          <w:i w:val="false"/>
          <w:color w:val="000000"/>
          <w:sz w:val="28"/>
        </w:rPr>
        <w:t>
      2) адекватной политики, процедур и ограничений в отношении принятого риска ликвидности;</w:t>
      </w:r>
    </w:p>
    <w:bookmarkEnd w:id="80"/>
    <w:bookmarkStart w:name="z87" w:id="81"/>
    <w:p>
      <w:pPr>
        <w:spacing w:after="0"/>
        <w:ind w:left="0"/>
        <w:jc w:val="both"/>
      </w:pPr>
      <w:r>
        <w:rPr>
          <w:rFonts w:ascii="Times New Roman"/>
          <w:b w:val="false"/>
          <w:i w:val="false"/>
          <w:color w:val="000000"/>
          <w:sz w:val="28"/>
        </w:rPr>
        <w:t>
      3) эффективной системы управленческой информации для оценки, мониторинга и контроля за риском ликвидности участников банковского конгломерата на индивидуальной и консолидированной основе.</w:t>
      </w:r>
    </w:p>
    <w:bookmarkEnd w:id="81"/>
    <w:bookmarkStart w:name="z88" w:id="82"/>
    <w:p>
      <w:pPr>
        <w:spacing w:after="0"/>
        <w:ind w:left="0"/>
        <w:jc w:val="both"/>
      </w:pPr>
      <w:r>
        <w:rPr>
          <w:rFonts w:ascii="Times New Roman"/>
          <w:b w:val="false"/>
          <w:i w:val="false"/>
          <w:color w:val="000000"/>
          <w:sz w:val="28"/>
        </w:rPr>
        <w:t>
      22. Процедуры по управлению риском ликвидности банковского конгломерата включают:</w:t>
      </w:r>
    </w:p>
    <w:bookmarkEnd w:id="82"/>
    <w:bookmarkStart w:name="z89" w:id="83"/>
    <w:p>
      <w:pPr>
        <w:spacing w:after="0"/>
        <w:ind w:left="0"/>
        <w:jc w:val="both"/>
      </w:pPr>
      <w:r>
        <w:rPr>
          <w:rFonts w:ascii="Times New Roman"/>
          <w:b w:val="false"/>
          <w:i w:val="false"/>
          <w:color w:val="000000"/>
          <w:sz w:val="28"/>
        </w:rPr>
        <w:t>
      1) описание и распределение между подразделениями участников банковского конгломерата функций, связанных с оценкой и управлением риском ликвидности, процедур взаимодействия между участниками и организацией верхнего уровня банковского конгломерата по управлению риском ликвидности банковского конгломерата;</w:t>
      </w:r>
    </w:p>
    <w:bookmarkEnd w:id="83"/>
    <w:bookmarkStart w:name="z90" w:id="84"/>
    <w:p>
      <w:pPr>
        <w:spacing w:after="0"/>
        <w:ind w:left="0"/>
        <w:jc w:val="both"/>
      </w:pPr>
      <w:r>
        <w:rPr>
          <w:rFonts w:ascii="Times New Roman"/>
          <w:b w:val="false"/>
          <w:i w:val="false"/>
          <w:color w:val="000000"/>
          <w:sz w:val="28"/>
        </w:rPr>
        <w:t>
      2) описание процедур определения потребности банковского конгломерата и участников банковского конгломерата в фондировании, включая определение дефицита ликвидности и предельно допустимых значений дефицита ликвидности, установление лимитов;</w:t>
      </w:r>
    </w:p>
    <w:bookmarkEnd w:id="84"/>
    <w:bookmarkStart w:name="z91" w:id="85"/>
    <w:p>
      <w:pPr>
        <w:spacing w:after="0"/>
        <w:ind w:left="0"/>
        <w:jc w:val="both"/>
      </w:pPr>
      <w:r>
        <w:rPr>
          <w:rFonts w:ascii="Times New Roman"/>
          <w:b w:val="false"/>
          <w:i w:val="false"/>
          <w:color w:val="000000"/>
          <w:sz w:val="28"/>
        </w:rPr>
        <w:t>
      3) порядок проведения анализа состояния ликвидности на различную временную перспективу (краткосрочная, долгосрочная ликвидность);</w:t>
      </w:r>
    </w:p>
    <w:bookmarkEnd w:id="85"/>
    <w:bookmarkStart w:name="z92" w:id="86"/>
    <w:p>
      <w:pPr>
        <w:spacing w:after="0"/>
        <w:ind w:left="0"/>
        <w:jc w:val="both"/>
      </w:pPr>
      <w:r>
        <w:rPr>
          <w:rFonts w:ascii="Times New Roman"/>
          <w:b w:val="false"/>
          <w:i w:val="false"/>
          <w:color w:val="000000"/>
          <w:sz w:val="28"/>
        </w:rPr>
        <w:t>
      4) порядок установления лимитов ликвидности и определения методов контроля за соблюдением указанных лимитов, информирования совета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 допущенных нарушениях лимитов, а также порядок их устранения;</w:t>
      </w:r>
    </w:p>
    <w:bookmarkEnd w:id="86"/>
    <w:bookmarkStart w:name="z93" w:id="87"/>
    <w:p>
      <w:pPr>
        <w:spacing w:after="0"/>
        <w:ind w:left="0"/>
        <w:jc w:val="both"/>
      </w:pPr>
      <w:r>
        <w:rPr>
          <w:rFonts w:ascii="Times New Roman"/>
          <w:b w:val="false"/>
          <w:i w:val="false"/>
          <w:color w:val="000000"/>
          <w:sz w:val="28"/>
        </w:rPr>
        <w:t>
      5) процедуры управления ликвидностью на различных временных интервалах;</w:t>
      </w:r>
    </w:p>
    <w:bookmarkEnd w:id="87"/>
    <w:bookmarkStart w:name="z94" w:id="88"/>
    <w:p>
      <w:pPr>
        <w:spacing w:after="0"/>
        <w:ind w:left="0"/>
        <w:jc w:val="both"/>
      </w:pPr>
      <w:r>
        <w:rPr>
          <w:rFonts w:ascii="Times New Roman"/>
          <w:b w:val="false"/>
          <w:i w:val="false"/>
          <w:color w:val="000000"/>
          <w:sz w:val="28"/>
        </w:rPr>
        <w:t>
      6) методы анализа ликвидности активов и устойчивости пассивов участников банковского конгломерата и организации верхнего уровня банковского конгломерата;</w:t>
      </w:r>
    </w:p>
    <w:bookmarkEnd w:id="88"/>
    <w:bookmarkStart w:name="z95" w:id="89"/>
    <w:p>
      <w:pPr>
        <w:spacing w:after="0"/>
        <w:ind w:left="0"/>
        <w:jc w:val="both"/>
      </w:pPr>
      <w:r>
        <w:rPr>
          <w:rFonts w:ascii="Times New Roman"/>
          <w:b w:val="false"/>
          <w:i w:val="false"/>
          <w:color w:val="000000"/>
          <w:sz w:val="28"/>
        </w:rPr>
        <w:t>
      7) процедуры восстановления ликвидности, в том числе процедуры принятия решений по реализации ликвидных активов, возможные способы привлечения дополнительных ресурсов в случае возникновения дефицита ликвидности.</w:t>
      </w:r>
    </w:p>
    <w:bookmarkEnd w:id="89"/>
    <w:bookmarkStart w:name="z96" w:id="90"/>
    <w:p>
      <w:pPr>
        <w:spacing w:after="0"/>
        <w:ind w:left="0"/>
        <w:jc w:val="both"/>
      </w:pPr>
      <w:r>
        <w:rPr>
          <w:rFonts w:ascii="Times New Roman"/>
          <w:b w:val="false"/>
          <w:i w:val="false"/>
          <w:color w:val="000000"/>
          <w:sz w:val="28"/>
        </w:rPr>
        <w:t>
      23. В случае изменения деятельности банковского конгломерата, рыночной конъюнктуры, иных внешних и внутренних событий, организация верхнего уровня банковского конгломерата вносит изменения в методологию управления риском ликвидности.</w:t>
      </w:r>
    </w:p>
    <w:bookmarkEnd w:id="90"/>
    <w:bookmarkStart w:name="z97" w:id="91"/>
    <w:p>
      <w:pPr>
        <w:spacing w:after="0"/>
        <w:ind w:left="0"/>
        <w:jc w:val="both"/>
      </w:pPr>
      <w:r>
        <w:rPr>
          <w:rFonts w:ascii="Times New Roman"/>
          <w:b w:val="false"/>
          <w:i w:val="false"/>
          <w:color w:val="000000"/>
          <w:sz w:val="28"/>
        </w:rPr>
        <w:t>
      24. Организация верхнего уровня банковского конгломерата периодически на основе предоставления информации от участников банковского конгломерата осуществляет мониторинг состояния ликвидности конгломерата с различным временным горизонтом: краткосрочной и долгосрочной ликвидности.</w:t>
      </w:r>
    </w:p>
    <w:bookmarkEnd w:id="91"/>
    <w:bookmarkStart w:name="z98" w:id="92"/>
    <w:p>
      <w:pPr>
        <w:spacing w:after="0"/>
        <w:ind w:left="0"/>
        <w:jc w:val="both"/>
      </w:pPr>
      <w:r>
        <w:rPr>
          <w:rFonts w:ascii="Times New Roman"/>
          <w:b w:val="false"/>
          <w:i w:val="false"/>
          <w:color w:val="000000"/>
          <w:sz w:val="28"/>
        </w:rPr>
        <w:t>
      25. Планы финансирования на случай непредвиденных обстоятельств учитывают ограничения, включая правовые и нормативные ограничения, на перевод денежных средств между участниками банковского конгломерата и организации верхнего уровня банковского конгломерата.</w:t>
      </w:r>
    </w:p>
    <w:bookmarkEnd w:id="92"/>
    <w:bookmarkStart w:name="z99" w:id="93"/>
    <w:p>
      <w:pPr>
        <w:spacing w:after="0"/>
        <w:ind w:left="0"/>
        <w:jc w:val="both"/>
      </w:pPr>
      <w:r>
        <w:rPr>
          <w:rFonts w:ascii="Times New Roman"/>
          <w:b w:val="false"/>
          <w:i w:val="false"/>
          <w:color w:val="000000"/>
          <w:sz w:val="28"/>
        </w:rPr>
        <w:t>
      Планы финансирования на случай непредвиденных обстоятельств содержат:</w:t>
      </w:r>
    </w:p>
    <w:bookmarkEnd w:id="93"/>
    <w:bookmarkStart w:name="z100" w:id="94"/>
    <w:p>
      <w:pPr>
        <w:spacing w:after="0"/>
        <w:ind w:left="0"/>
        <w:jc w:val="both"/>
      </w:pPr>
      <w:r>
        <w:rPr>
          <w:rFonts w:ascii="Times New Roman"/>
          <w:b w:val="false"/>
          <w:i w:val="false"/>
          <w:color w:val="000000"/>
          <w:sz w:val="28"/>
        </w:rPr>
        <w:t>
      1) источники финансирования с оценкой возможного размера средств, привлекаемых из этих источников;</w:t>
      </w:r>
    </w:p>
    <w:bookmarkEnd w:id="94"/>
    <w:bookmarkStart w:name="z101" w:id="95"/>
    <w:p>
      <w:pPr>
        <w:spacing w:after="0"/>
        <w:ind w:left="0"/>
        <w:jc w:val="both"/>
      </w:pPr>
      <w:r>
        <w:rPr>
          <w:rFonts w:ascii="Times New Roman"/>
          <w:b w:val="false"/>
          <w:i w:val="false"/>
          <w:color w:val="000000"/>
          <w:sz w:val="28"/>
        </w:rPr>
        <w:t>
      2) время, необходимое для привлечения дополнительных средств от каждого из источников финансирования;</w:t>
      </w:r>
    </w:p>
    <w:bookmarkEnd w:id="95"/>
    <w:bookmarkStart w:name="z102" w:id="96"/>
    <w:p>
      <w:pPr>
        <w:spacing w:after="0"/>
        <w:ind w:left="0"/>
        <w:jc w:val="both"/>
      </w:pPr>
      <w:r>
        <w:rPr>
          <w:rFonts w:ascii="Times New Roman"/>
          <w:b w:val="false"/>
          <w:i w:val="false"/>
          <w:color w:val="000000"/>
          <w:sz w:val="28"/>
        </w:rPr>
        <w:t>
      3) подробный алгоритм действий и их приоритезацию;</w:t>
      </w:r>
    </w:p>
    <w:bookmarkEnd w:id="96"/>
    <w:bookmarkStart w:name="z103" w:id="97"/>
    <w:p>
      <w:pPr>
        <w:spacing w:after="0"/>
        <w:ind w:left="0"/>
        <w:jc w:val="both"/>
      </w:pPr>
      <w:r>
        <w:rPr>
          <w:rFonts w:ascii="Times New Roman"/>
          <w:b w:val="false"/>
          <w:i w:val="false"/>
          <w:color w:val="000000"/>
          <w:sz w:val="28"/>
        </w:rPr>
        <w:t>
      4) несколько вариантов реализации разных стрессовых ситуаций с ликвидностью.</w:t>
      </w:r>
    </w:p>
    <w:bookmarkEnd w:id="97"/>
    <w:bookmarkStart w:name="z104" w:id="98"/>
    <w:p>
      <w:pPr>
        <w:spacing w:after="0"/>
        <w:ind w:left="0"/>
        <w:jc w:val="both"/>
      </w:pPr>
      <w:r>
        <w:rPr>
          <w:rFonts w:ascii="Times New Roman"/>
          <w:b w:val="false"/>
          <w:i w:val="false"/>
          <w:color w:val="000000"/>
          <w:sz w:val="28"/>
        </w:rPr>
        <w:t>
      В целях обеспечения операционной надежности план финансирования на случай непредвиденных обстоятельств подвергается регулярному тестированию и обновлению.</w:t>
      </w:r>
    </w:p>
    <w:bookmarkEnd w:id="98"/>
    <w:bookmarkStart w:name="z105" w:id="99"/>
    <w:p>
      <w:pPr>
        <w:spacing w:after="0"/>
        <w:ind w:left="0"/>
        <w:jc w:val="both"/>
      </w:pPr>
      <w:r>
        <w:rPr>
          <w:rFonts w:ascii="Times New Roman"/>
          <w:b w:val="false"/>
          <w:i w:val="false"/>
          <w:color w:val="000000"/>
          <w:sz w:val="28"/>
        </w:rPr>
        <w:t>
      Регулируемые участники банковского конгломерата разрабатывают план финансирования на случай непредвиденных обстоятельств на индивидуальной основе.</w:t>
      </w:r>
    </w:p>
    <w:bookmarkEnd w:id="99"/>
    <w:bookmarkStart w:name="z106" w:id="100"/>
    <w:p>
      <w:pPr>
        <w:spacing w:after="0"/>
        <w:ind w:left="0"/>
        <w:jc w:val="left"/>
      </w:pPr>
      <w:r>
        <w:rPr>
          <w:rFonts w:ascii="Times New Roman"/>
          <w:b/>
          <w:i w:val="false"/>
          <w:color w:val="000000"/>
        </w:rPr>
        <w:t xml:space="preserve"> Глава 5. Управление рисками</w:t>
      </w:r>
    </w:p>
    <w:bookmarkEnd w:id="100"/>
    <w:bookmarkStart w:name="z107" w:id="101"/>
    <w:p>
      <w:pPr>
        <w:spacing w:after="0"/>
        <w:ind w:left="0"/>
        <w:jc w:val="both"/>
      </w:pPr>
      <w:r>
        <w:rPr>
          <w:rFonts w:ascii="Times New Roman"/>
          <w:b w:val="false"/>
          <w:i w:val="false"/>
          <w:color w:val="000000"/>
          <w:sz w:val="28"/>
        </w:rPr>
        <w:t>
      26.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 наличие эффективной системы управления рисками, включающей управление рисками регулируемых и нерегулируемых участников банковского конгломерата и соответствующую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о товариществах с ограниченной и дополнительной ответственностью, а в отношениях с нерезидентами Республики Казахстан - законодательства страны его происхождения, а также наличие систем и механизмов внутреннего контроля.</w:t>
      </w:r>
    </w:p>
    <w:bookmarkEnd w:id="101"/>
    <w:bookmarkStart w:name="z108" w:id="102"/>
    <w:p>
      <w:pPr>
        <w:spacing w:after="0"/>
        <w:ind w:left="0"/>
        <w:jc w:val="both"/>
      </w:pPr>
      <w:r>
        <w:rPr>
          <w:rFonts w:ascii="Times New Roman"/>
          <w:b w:val="false"/>
          <w:i w:val="false"/>
          <w:color w:val="000000"/>
          <w:sz w:val="28"/>
        </w:rPr>
        <w:t>
      27.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 наличие и независимость подразделений по управлению рисками от бизнес-подразделений участников банковского конгломерата, а также обеспечивает достаточный уровень полномочий для выполнения своих функций.</w:t>
      </w:r>
    </w:p>
    <w:bookmarkEnd w:id="102"/>
    <w:bookmarkStart w:name="z109" w:id="103"/>
    <w:p>
      <w:pPr>
        <w:spacing w:after="0"/>
        <w:ind w:left="0"/>
        <w:jc w:val="both"/>
      </w:pPr>
      <w:r>
        <w:rPr>
          <w:rFonts w:ascii="Times New Roman"/>
          <w:b w:val="false"/>
          <w:i w:val="false"/>
          <w:color w:val="000000"/>
          <w:sz w:val="28"/>
        </w:rPr>
        <w:t>
      28.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 наличие системы управления рисками, механизмов внутреннего контроля и комплаенс банковского конгломерата.</w:t>
      </w:r>
    </w:p>
    <w:bookmarkEnd w:id="103"/>
    <w:bookmarkStart w:name="z110" w:id="104"/>
    <w:p>
      <w:pPr>
        <w:spacing w:after="0"/>
        <w:ind w:left="0"/>
        <w:jc w:val="both"/>
      </w:pPr>
      <w:r>
        <w:rPr>
          <w:rFonts w:ascii="Times New Roman"/>
          <w:b w:val="false"/>
          <w:i w:val="false"/>
          <w:color w:val="000000"/>
          <w:sz w:val="28"/>
        </w:rPr>
        <w:t>
      Процесс управления рисками включает идентификацию, измерение, оценку, мониторинг и контроль рисков, присущих деятельности участников банковского конгломерата и банковскому конгломерату в целом с учетом требований к достаточности капитала регулируемых участников банковского конгломерата.</w:t>
      </w:r>
    </w:p>
    <w:bookmarkEnd w:id="104"/>
    <w:bookmarkStart w:name="z111" w:id="105"/>
    <w:p>
      <w:pPr>
        <w:spacing w:after="0"/>
        <w:ind w:left="0"/>
        <w:jc w:val="both"/>
      </w:pPr>
      <w:r>
        <w:rPr>
          <w:rFonts w:ascii="Times New Roman"/>
          <w:b w:val="false"/>
          <w:i w:val="false"/>
          <w:color w:val="000000"/>
          <w:sz w:val="28"/>
        </w:rPr>
        <w:t>
      Процессы управления рисками и механизмы внутреннего контроля банковского конгломерата документируются и учитывают следующее:</w:t>
      </w:r>
    </w:p>
    <w:bookmarkEnd w:id="105"/>
    <w:bookmarkStart w:name="z112" w:id="106"/>
    <w:p>
      <w:pPr>
        <w:spacing w:after="0"/>
        <w:ind w:left="0"/>
        <w:jc w:val="both"/>
      </w:pPr>
      <w:r>
        <w:rPr>
          <w:rFonts w:ascii="Times New Roman"/>
          <w:b w:val="false"/>
          <w:i w:val="false"/>
          <w:color w:val="000000"/>
          <w:sz w:val="28"/>
        </w:rPr>
        <w:t>
      1) характер, масштаб и сложность деятельности;</w:t>
      </w:r>
    </w:p>
    <w:bookmarkEnd w:id="106"/>
    <w:bookmarkStart w:name="z113" w:id="107"/>
    <w:p>
      <w:pPr>
        <w:spacing w:after="0"/>
        <w:ind w:left="0"/>
        <w:jc w:val="both"/>
      </w:pPr>
      <w:r>
        <w:rPr>
          <w:rFonts w:ascii="Times New Roman"/>
          <w:b w:val="false"/>
          <w:i w:val="false"/>
          <w:color w:val="000000"/>
          <w:sz w:val="28"/>
        </w:rPr>
        <w:t>
      2) разнообразие операций, включая географический охват;</w:t>
      </w:r>
    </w:p>
    <w:bookmarkEnd w:id="107"/>
    <w:bookmarkStart w:name="z114" w:id="108"/>
    <w:p>
      <w:pPr>
        <w:spacing w:after="0"/>
        <w:ind w:left="0"/>
        <w:jc w:val="both"/>
      </w:pPr>
      <w:r>
        <w:rPr>
          <w:rFonts w:ascii="Times New Roman"/>
          <w:b w:val="false"/>
          <w:i w:val="false"/>
          <w:color w:val="000000"/>
          <w:sz w:val="28"/>
        </w:rPr>
        <w:t>
      3) объем, частоту и размер операций;</w:t>
      </w:r>
    </w:p>
    <w:bookmarkEnd w:id="108"/>
    <w:bookmarkStart w:name="z115" w:id="109"/>
    <w:p>
      <w:pPr>
        <w:spacing w:after="0"/>
        <w:ind w:left="0"/>
        <w:jc w:val="both"/>
      </w:pPr>
      <w:r>
        <w:rPr>
          <w:rFonts w:ascii="Times New Roman"/>
          <w:b w:val="false"/>
          <w:i w:val="false"/>
          <w:color w:val="000000"/>
          <w:sz w:val="28"/>
        </w:rPr>
        <w:t>
      4) степень риска, связанного с каждой областью ее деятельности;</w:t>
      </w:r>
    </w:p>
    <w:bookmarkEnd w:id="109"/>
    <w:bookmarkStart w:name="z116" w:id="110"/>
    <w:p>
      <w:pPr>
        <w:spacing w:after="0"/>
        <w:ind w:left="0"/>
        <w:jc w:val="both"/>
      </w:pPr>
      <w:r>
        <w:rPr>
          <w:rFonts w:ascii="Times New Roman"/>
          <w:b w:val="false"/>
          <w:i w:val="false"/>
          <w:color w:val="000000"/>
          <w:sz w:val="28"/>
        </w:rPr>
        <w:t>
      5) взаимосвязанность участников в рамках банковского конгломерата;</w:t>
      </w:r>
    </w:p>
    <w:bookmarkEnd w:id="110"/>
    <w:bookmarkStart w:name="z117" w:id="111"/>
    <w:p>
      <w:pPr>
        <w:spacing w:after="0"/>
        <w:ind w:left="0"/>
        <w:jc w:val="both"/>
      </w:pPr>
      <w:r>
        <w:rPr>
          <w:rFonts w:ascii="Times New Roman"/>
          <w:b w:val="false"/>
          <w:i w:val="false"/>
          <w:color w:val="000000"/>
          <w:sz w:val="28"/>
        </w:rPr>
        <w:t>
      6) сложность и функциональность информационных и отчетных систем.</w:t>
      </w:r>
    </w:p>
    <w:bookmarkEnd w:id="111"/>
    <w:bookmarkStart w:name="z118" w:id="112"/>
    <w:p>
      <w:pPr>
        <w:spacing w:after="0"/>
        <w:ind w:left="0"/>
        <w:jc w:val="both"/>
      </w:pPr>
      <w:r>
        <w:rPr>
          <w:rFonts w:ascii="Times New Roman"/>
          <w:b w:val="false"/>
          <w:i w:val="false"/>
          <w:color w:val="000000"/>
          <w:sz w:val="28"/>
        </w:rPr>
        <w:t>
      Процесс управления рисками и механизмы внутреннего контроля банковского конгломерата включают:</w:t>
      </w:r>
    </w:p>
    <w:bookmarkEnd w:id="112"/>
    <w:bookmarkStart w:name="z119" w:id="113"/>
    <w:p>
      <w:pPr>
        <w:spacing w:after="0"/>
        <w:ind w:left="0"/>
        <w:jc w:val="both"/>
      </w:pPr>
      <w:r>
        <w:rPr>
          <w:rFonts w:ascii="Times New Roman"/>
          <w:b w:val="false"/>
          <w:i w:val="false"/>
          <w:color w:val="000000"/>
          <w:sz w:val="28"/>
        </w:rPr>
        <w:t>
      1) четкие механизмы делегирования полномочий и ответственности;</w:t>
      </w:r>
    </w:p>
    <w:bookmarkEnd w:id="113"/>
    <w:bookmarkStart w:name="z120" w:id="114"/>
    <w:p>
      <w:pPr>
        <w:spacing w:after="0"/>
        <w:ind w:left="0"/>
        <w:jc w:val="both"/>
      </w:pPr>
      <w:r>
        <w:rPr>
          <w:rFonts w:ascii="Times New Roman"/>
          <w:b w:val="false"/>
          <w:i w:val="false"/>
          <w:color w:val="000000"/>
          <w:sz w:val="28"/>
        </w:rPr>
        <w:t>
      2) разделение функций, связанных с выделением средств банковского конгломерата и учетом активов и обязательств;</w:t>
      </w:r>
    </w:p>
    <w:bookmarkEnd w:id="114"/>
    <w:bookmarkStart w:name="z121" w:id="115"/>
    <w:p>
      <w:pPr>
        <w:spacing w:after="0"/>
        <w:ind w:left="0"/>
        <w:jc w:val="both"/>
      </w:pPr>
      <w:r>
        <w:rPr>
          <w:rFonts w:ascii="Times New Roman"/>
          <w:b w:val="false"/>
          <w:i w:val="false"/>
          <w:color w:val="000000"/>
          <w:sz w:val="28"/>
        </w:rPr>
        <w:t>
      3) согласование процессов;</w:t>
      </w:r>
    </w:p>
    <w:bookmarkEnd w:id="115"/>
    <w:bookmarkStart w:name="z122" w:id="116"/>
    <w:p>
      <w:pPr>
        <w:spacing w:after="0"/>
        <w:ind w:left="0"/>
        <w:jc w:val="both"/>
      </w:pPr>
      <w:r>
        <w:rPr>
          <w:rFonts w:ascii="Times New Roman"/>
          <w:b w:val="false"/>
          <w:i w:val="false"/>
          <w:color w:val="000000"/>
          <w:sz w:val="28"/>
        </w:rPr>
        <w:t>
      4) обеспечение исполнения риск аппетита банковского конгломерата;</w:t>
      </w:r>
    </w:p>
    <w:bookmarkEnd w:id="116"/>
    <w:bookmarkStart w:name="z123" w:id="117"/>
    <w:p>
      <w:pPr>
        <w:spacing w:after="0"/>
        <w:ind w:left="0"/>
        <w:jc w:val="both"/>
      </w:pPr>
      <w:r>
        <w:rPr>
          <w:rFonts w:ascii="Times New Roman"/>
          <w:b w:val="false"/>
          <w:i w:val="false"/>
          <w:color w:val="000000"/>
          <w:sz w:val="28"/>
        </w:rPr>
        <w:t>
      5) соответствующие независимые функции комплаенса для проверки соблюдения мер контроля, а также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о товариществах с ограниченной и дополнительной ответственностью и внутренних документов банковского конгломерата.</w:t>
      </w:r>
    </w:p>
    <w:bookmarkEnd w:id="117"/>
    <w:bookmarkStart w:name="z124" w:id="118"/>
    <w:p>
      <w:pPr>
        <w:spacing w:after="0"/>
        <w:ind w:left="0"/>
        <w:jc w:val="both"/>
      </w:pPr>
      <w:r>
        <w:rPr>
          <w:rFonts w:ascii="Times New Roman"/>
          <w:b w:val="false"/>
          <w:i w:val="false"/>
          <w:color w:val="000000"/>
          <w:sz w:val="28"/>
        </w:rPr>
        <w:t>
      29.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 наличие процедур информирования сотрудниками участников банковского конгломерата и организации верхнего уровня банковского конгломерата о несоблюдении установленных процедур управления рисками, внутренних процедур и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о товариществах с ограниченной и дополнительной ответственностью, а в отношениях с нерезидентами Республики Казахстан – законодательства страны его происхождения.</w:t>
      </w:r>
    </w:p>
    <w:bookmarkEnd w:id="118"/>
    <w:bookmarkStart w:name="z125" w:id="119"/>
    <w:p>
      <w:pPr>
        <w:spacing w:after="0"/>
        <w:ind w:left="0"/>
        <w:jc w:val="both"/>
      </w:pPr>
      <w:r>
        <w:rPr>
          <w:rFonts w:ascii="Times New Roman"/>
          <w:b w:val="false"/>
          <w:i w:val="false"/>
          <w:color w:val="000000"/>
          <w:sz w:val="28"/>
        </w:rPr>
        <w:t>
      30. В рамках стратегии риск-аппетита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формирует заявление риск-аппетита, которое устанавливает общее направление в отношении принимаемых банковским конгломератом рисков в рамках бюджетного планирования и операционной деятельности банковского конгломерата.</w:t>
      </w:r>
    </w:p>
    <w:bookmarkEnd w:id="119"/>
    <w:bookmarkStart w:name="z126" w:id="120"/>
    <w:p>
      <w:pPr>
        <w:spacing w:after="0"/>
        <w:ind w:left="0"/>
        <w:jc w:val="both"/>
      </w:pPr>
      <w:r>
        <w:rPr>
          <w:rFonts w:ascii="Times New Roman"/>
          <w:b w:val="false"/>
          <w:i w:val="false"/>
          <w:color w:val="000000"/>
          <w:sz w:val="28"/>
        </w:rPr>
        <w:t>
      31. Эффективное заявление риск-аппетита:</w:t>
      </w:r>
    </w:p>
    <w:bookmarkEnd w:id="120"/>
    <w:bookmarkStart w:name="z127" w:id="121"/>
    <w:p>
      <w:pPr>
        <w:spacing w:after="0"/>
        <w:ind w:left="0"/>
        <w:jc w:val="both"/>
      </w:pPr>
      <w:r>
        <w:rPr>
          <w:rFonts w:ascii="Times New Roman"/>
          <w:b w:val="false"/>
          <w:i w:val="false"/>
          <w:color w:val="000000"/>
          <w:sz w:val="28"/>
        </w:rPr>
        <w:t>
      формируется с учетом стратегии развития банковского конгломерата, профиля рисков участников банковского конгломерата и планов капиталовложений;</w:t>
      </w:r>
    </w:p>
    <w:bookmarkEnd w:id="121"/>
    <w:bookmarkStart w:name="z128" w:id="122"/>
    <w:p>
      <w:pPr>
        <w:spacing w:after="0"/>
        <w:ind w:left="0"/>
        <w:jc w:val="both"/>
      </w:pPr>
      <w:r>
        <w:rPr>
          <w:rFonts w:ascii="Times New Roman"/>
          <w:b w:val="false"/>
          <w:i w:val="false"/>
          <w:color w:val="000000"/>
          <w:sz w:val="28"/>
        </w:rPr>
        <w:t>
      включает заявление качественного характера, которое описывает основания принятия банковским конгломератом рисков, либо их исключения, включая репутационные и (или) иные риски, количественная оценка по которым не осуществима, а также устанавливает подходы, позволяющие их контролировать.</w:t>
      </w:r>
    </w:p>
    <w:bookmarkEnd w:id="122"/>
    <w:bookmarkStart w:name="z129" w:id="123"/>
    <w:p>
      <w:pPr>
        <w:spacing w:after="0"/>
        <w:ind w:left="0"/>
        <w:jc w:val="both"/>
      </w:pPr>
      <w:r>
        <w:rPr>
          <w:rFonts w:ascii="Times New Roman"/>
          <w:b w:val="false"/>
          <w:i w:val="false"/>
          <w:color w:val="000000"/>
          <w:sz w:val="28"/>
        </w:rPr>
        <w:t>
      32.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устанавливает уровни риск-аппетита банковского конгломерата.</w:t>
      </w:r>
    </w:p>
    <w:bookmarkEnd w:id="123"/>
    <w:bookmarkStart w:name="z130" w:id="124"/>
    <w:p>
      <w:pPr>
        <w:spacing w:after="0"/>
        <w:ind w:left="0"/>
        <w:jc w:val="both"/>
      </w:pPr>
      <w:r>
        <w:rPr>
          <w:rFonts w:ascii="Times New Roman"/>
          <w:b w:val="false"/>
          <w:i w:val="false"/>
          <w:color w:val="000000"/>
          <w:sz w:val="28"/>
        </w:rPr>
        <w:t>
      Уровни риск-аппетита учитывают стратегию развития банковского конгломерата, профиль рисков участников банковского конгломерата и планы капиталовложений.</w:t>
      </w:r>
    </w:p>
    <w:bookmarkEnd w:id="124"/>
    <w:bookmarkStart w:name="z131" w:id="125"/>
    <w:p>
      <w:pPr>
        <w:spacing w:after="0"/>
        <w:ind w:left="0"/>
        <w:jc w:val="both"/>
      </w:pPr>
      <w:r>
        <w:rPr>
          <w:rFonts w:ascii="Times New Roman"/>
          <w:b w:val="false"/>
          <w:i w:val="false"/>
          <w:color w:val="000000"/>
          <w:sz w:val="28"/>
        </w:rPr>
        <w:t>
      Уровни риск-аппетита пересматриваются на периодической основе в целях актуализации в связи с изменением операционной среды банковского конгломерата, новых видов деятельности, динамики рынков присутствия участников банковского конгломерата.</w:t>
      </w:r>
    </w:p>
    <w:bookmarkEnd w:id="125"/>
    <w:bookmarkStart w:name="z132" w:id="126"/>
    <w:p>
      <w:pPr>
        <w:spacing w:after="0"/>
        <w:ind w:left="0"/>
        <w:jc w:val="both"/>
      </w:pPr>
      <w:r>
        <w:rPr>
          <w:rFonts w:ascii="Times New Roman"/>
          <w:b w:val="false"/>
          <w:i w:val="false"/>
          <w:color w:val="000000"/>
          <w:sz w:val="28"/>
        </w:rPr>
        <w:t>
      33.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утверждает процедуры утверждения новых линеек продуктов.</w:t>
      </w:r>
    </w:p>
    <w:bookmarkEnd w:id="126"/>
    <w:bookmarkStart w:name="z133" w:id="127"/>
    <w:p>
      <w:pPr>
        <w:spacing w:after="0"/>
        <w:ind w:left="0"/>
        <w:jc w:val="both"/>
      </w:pPr>
      <w:r>
        <w:rPr>
          <w:rFonts w:ascii="Times New Roman"/>
          <w:b w:val="false"/>
          <w:i w:val="false"/>
          <w:color w:val="000000"/>
          <w:sz w:val="28"/>
        </w:rPr>
        <w:t>
      34.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не реже одного раза в год рассматривает результаты стресс-тестирования и анализа чувствительности по основным видам риска, присущим деятельности банковского конгломерата.</w:t>
      </w:r>
    </w:p>
    <w:bookmarkEnd w:id="127"/>
    <w:bookmarkStart w:name="z134" w:id="128"/>
    <w:p>
      <w:pPr>
        <w:spacing w:after="0"/>
        <w:ind w:left="0"/>
        <w:jc w:val="both"/>
      </w:pPr>
      <w:r>
        <w:rPr>
          <w:rFonts w:ascii="Times New Roman"/>
          <w:b w:val="false"/>
          <w:i w:val="false"/>
          <w:color w:val="000000"/>
          <w:sz w:val="28"/>
        </w:rPr>
        <w:t>
      Стресс-тестирование охватывает деятельность, результаты которой оказывают существенное влияние на финансовые результаты банковского конгломерата.</w:t>
      </w:r>
    </w:p>
    <w:bookmarkEnd w:id="128"/>
    <w:bookmarkStart w:name="z135" w:id="129"/>
    <w:p>
      <w:pPr>
        <w:spacing w:after="0"/>
        <w:ind w:left="0"/>
        <w:jc w:val="both"/>
      </w:pPr>
      <w:r>
        <w:rPr>
          <w:rFonts w:ascii="Times New Roman"/>
          <w:b w:val="false"/>
          <w:i w:val="false"/>
          <w:color w:val="000000"/>
          <w:sz w:val="28"/>
        </w:rPr>
        <w:t>
      Стресс-тестирование учитывает неблагоприятные и наиболее вероятные сценарии.</w:t>
      </w:r>
    </w:p>
    <w:bookmarkEnd w:id="129"/>
    <w:bookmarkStart w:name="z136" w:id="130"/>
    <w:p>
      <w:pPr>
        <w:spacing w:after="0"/>
        <w:ind w:left="0"/>
        <w:jc w:val="both"/>
      </w:pPr>
      <w:r>
        <w:rPr>
          <w:rFonts w:ascii="Times New Roman"/>
          <w:b w:val="false"/>
          <w:i w:val="false"/>
          <w:color w:val="000000"/>
          <w:sz w:val="28"/>
        </w:rPr>
        <w:t>
      Результаты стресс-тестирования принимаются во внимание советом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для обеспечения принятия эффективных мер по управлению рисками.</w:t>
      </w:r>
    </w:p>
    <w:bookmarkEnd w:id="130"/>
    <w:bookmarkStart w:name="z137" w:id="131"/>
    <w:p>
      <w:pPr>
        <w:spacing w:after="0"/>
        <w:ind w:left="0"/>
        <w:jc w:val="both"/>
      </w:pPr>
      <w:r>
        <w:rPr>
          <w:rFonts w:ascii="Times New Roman"/>
          <w:b w:val="false"/>
          <w:i w:val="false"/>
          <w:color w:val="000000"/>
          <w:sz w:val="28"/>
        </w:rPr>
        <w:t>
      35.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утверждает процедуры агрегирования рисков, присущих деятельности участников конгломерата.</w:t>
      </w:r>
    </w:p>
    <w:bookmarkEnd w:id="131"/>
    <w:bookmarkStart w:name="z138" w:id="132"/>
    <w:p>
      <w:pPr>
        <w:spacing w:after="0"/>
        <w:ind w:left="0"/>
        <w:jc w:val="both"/>
      </w:pPr>
      <w:r>
        <w:rPr>
          <w:rFonts w:ascii="Times New Roman"/>
          <w:b w:val="false"/>
          <w:i w:val="false"/>
          <w:color w:val="000000"/>
          <w:sz w:val="28"/>
        </w:rPr>
        <w:t>
      36. В целях выявления, оценки, мониторинга и контроля концентрации рисков, в том числе внутригрупповых операций, в масштабах банковского конгломерата подразделение по управлению рисками организации верхнего уровня банковского конгломерата получает от участников банковского конгломерата необходимую управленческую информацию на периодической основе.</w:t>
      </w:r>
    </w:p>
    <w:bookmarkEnd w:id="132"/>
    <w:bookmarkStart w:name="z139" w:id="133"/>
    <w:p>
      <w:pPr>
        <w:spacing w:after="0"/>
        <w:ind w:left="0"/>
        <w:jc w:val="both"/>
      </w:pPr>
      <w:r>
        <w:rPr>
          <w:rFonts w:ascii="Times New Roman"/>
          <w:b w:val="false"/>
          <w:i w:val="false"/>
          <w:color w:val="000000"/>
          <w:sz w:val="28"/>
        </w:rPr>
        <w:t>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на основании материалов, представленных подразделением по управлению рисками, устанавливает количественные пределы концентрации рисков и лимиты на внутригрупповые операции, внутренние лимиты по каждому из видов рисков, присущих деятельности банковского конгломерата, в том числе предлимитный подход.</w:t>
      </w:r>
    </w:p>
    <w:bookmarkEnd w:id="133"/>
    <w:bookmarkStart w:name="z140" w:id="134"/>
    <w:p>
      <w:pPr>
        <w:spacing w:after="0"/>
        <w:ind w:left="0"/>
        <w:jc w:val="left"/>
      </w:pPr>
      <w:r>
        <w:rPr>
          <w:rFonts w:ascii="Times New Roman"/>
          <w:b/>
          <w:i w:val="false"/>
          <w:color w:val="000000"/>
        </w:rPr>
        <w:t xml:space="preserve"> Глава 6. Внутренний контроль</w:t>
      </w:r>
    </w:p>
    <w:bookmarkEnd w:id="134"/>
    <w:bookmarkStart w:name="z141" w:id="135"/>
    <w:p>
      <w:pPr>
        <w:spacing w:after="0"/>
        <w:ind w:left="0"/>
        <w:jc w:val="both"/>
      </w:pPr>
      <w:r>
        <w:rPr>
          <w:rFonts w:ascii="Times New Roman"/>
          <w:b w:val="false"/>
          <w:i w:val="false"/>
          <w:color w:val="000000"/>
          <w:sz w:val="28"/>
        </w:rPr>
        <w:t>
      37. В рамках системы управления рисками банковского конгломерата внутренний контроль предназначен для проверки, что для каждого существенного риска банковского конгломерата предусмотрена адекватная политика, процедуры управления и другие меры, а также для проверки надлежащего применения политик, процедур и других мер. Внутренний контроль обеспечивает надежность и эффективность процессов в целом.</w:t>
      </w:r>
    </w:p>
    <w:bookmarkEnd w:id="135"/>
    <w:bookmarkStart w:name="z142" w:id="136"/>
    <w:p>
      <w:pPr>
        <w:spacing w:after="0"/>
        <w:ind w:left="0"/>
        <w:jc w:val="both"/>
      </w:pPr>
      <w:r>
        <w:rPr>
          <w:rFonts w:ascii="Times New Roman"/>
          <w:b w:val="false"/>
          <w:i w:val="false"/>
          <w:color w:val="000000"/>
          <w:sz w:val="28"/>
        </w:rPr>
        <w:t>
      38. Внутренний контроль обеспечивает достоверность, своевременность и полноту финансовой и управленческой информации участников банковского конгломерата, в том числе выполнения участниками банковского конгломерата требований внутренних политик и выполнение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о товариществах с ограниченной и дополнительной ответственностью, а в отношениях с нерезидентами Республики Казахстан – законодательства страны его происхождения.</w:t>
      </w:r>
    </w:p>
    <w:bookmarkEnd w:id="136"/>
    <w:bookmarkStart w:name="z143" w:id="137"/>
    <w:p>
      <w:pPr>
        <w:spacing w:after="0"/>
        <w:ind w:left="0"/>
        <w:jc w:val="both"/>
      </w:pPr>
      <w:r>
        <w:rPr>
          <w:rFonts w:ascii="Times New Roman"/>
          <w:b w:val="false"/>
          <w:i w:val="false"/>
          <w:color w:val="000000"/>
          <w:sz w:val="28"/>
        </w:rPr>
        <w:t>
      39. В целях предотвращения превышения работниками банковского конгломерата своих полномочий или совершения мошеннических действий, система внутреннего контроля включает процедуры для мониторинга неправомерного использования активов банковского конгломерата, а также предотвращения злоупотреблений служебными полномочиями со стороны сотрудников и руководителей участников банковского конгломерата при осуществлении сделок, в том числе с лицами, связанными с банковским конгломератом особыми отношениями.</w:t>
      </w:r>
    </w:p>
    <w:bookmarkEnd w:id="137"/>
    <w:bookmarkStart w:name="z144" w:id="138"/>
    <w:p>
      <w:pPr>
        <w:spacing w:after="0"/>
        <w:ind w:left="0"/>
        <w:jc w:val="both"/>
      </w:pPr>
      <w:r>
        <w:rPr>
          <w:rFonts w:ascii="Times New Roman"/>
          <w:b w:val="false"/>
          <w:i w:val="false"/>
          <w:color w:val="000000"/>
          <w:sz w:val="28"/>
        </w:rPr>
        <w:t>
      Процедуры внутреннего контроля предусматривают оценку того, насколько действия участника банковского конгломерата соответствуют утвержденной политике, установленным процедурам и требованиям банковского законодательства Республики Казахстан.</w:t>
      </w:r>
    </w:p>
    <w:bookmarkEnd w:id="138"/>
    <w:bookmarkStart w:name="z145" w:id="139"/>
    <w:p>
      <w:pPr>
        <w:spacing w:after="0"/>
        <w:ind w:left="0"/>
        <w:jc w:val="both"/>
      </w:pPr>
      <w:r>
        <w:rPr>
          <w:rFonts w:ascii="Times New Roman"/>
          <w:b w:val="false"/>
          <w:i w:val="false"/>
          <w:color w:val="000000"/>
          <w:sz w:val="28"/>
        </w:rPr>
        <w:t>
      40.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проводит проверку и оценку эффективности системы внутреннего контроля банковского конгломерата и участников банковского конгломерата, выявляет и анализирует проблемы, связанные с еҰ функционированием, проводит оценку эффективности используемых процессов и процедур внутреннего контроля, включая:</w:t>
      </w:r>
    </w:p>
    <w:bookmarkEnd w:id="139"/>
    <w:bookmarkStart w:name="z146" w:id="140"/>
    <w:p>
      <w:pPr>
        <w:spacing w:after="0"/>
        <w:ind w:left="0"/>
        <w:jc w:val="both"/>
      </w:pPr>
      <w:r>
        <w:rPr>
          <w:rFonts w:ascii="Times New Roman"/>
          <w:b w:val="false"/>
          <w:i w:val="false"/>
          <w:color w:val="000000"/>
          <w:sz w:val="28"/>
        </w:rPr>
        <w:t>
      1) оценку полноты применения и эффективности принятой в конгломерате методологии оценки рисков и процедур управления рисками, при этом в отношении регулируемых участников банковского конгломерата – проверку соответствия требованиям банковского законодательства Республики Казахстан;</w:t>
      </w:r>
    </w:p>
    <w:bookmarkEnd w:id="140"/>
    <w:bookmarkStart w:name="z147" w:id="141"/>
    <w:p>
      <w:pPr>
        <w:spacing w:after="0"/>
        <w:ind w:left="0"/>
        <w:jc w:val="both"/>
      </w:pPr>
      <w:r>
        <w:rPr>
          <w:rFonts w:ascii="Times New Roman"/>
          <w:b w:val="false"/>
          <w:i w:val="false"/>
          <w:color w:val="000000"/>
          <w:sz w:val="28"/>
        </w:rPr>
        <w:t>
      2) требования к организации системы внутреннего контроля банковского конгломерата и его участников;</w:t>
      </w:r>
    </w:p>
    <w:bookmarkEnd w:id="141"/>
    <w:bookmarkStart w:name="z148" w:id="142"/>
    <w:p>
      <w:pPr>
        <w:spacing w:after="0"/>
        <w:ind w:left="0"/>
        <w:jc w:val="both"/>
      </w:pPr>
      <w:r>
        <w:rPr>
          <w:rFonts w:ascii="Times New Roman"/>
          <w:b w:val="false"/>
          <w:i w:val="false"/>
          <w:color w:val="000000"/>
          <w:sz w:val="28"/>
        </w:rPr>
        <w:t>
      3) проверку достоверности, полноты, объективности и своевременности сбора и представления информации, и отчетности по рискам;</w:t>
      </w:r>
    </w:p>
    <w:bookmarkEnd w:id="142"/>
    <w:bookmarkStart w:name="z149" w:id="143"/>
    <w:p>
      <w:pPr>
        <w:spacing w:after="0"/>
        <w:ind w:left="0"/>
        <w:jc w:val="both"/>
      </w:pPr>
      <w:r>
        <w:rPr>
          <w:rFonts w:ascii="Times New Roman"/>
          <w:b w:val="false"/>
          <w:i w:val="false"/>
          <w:color w:val="000000"/>
          <w:sz w:val="28"/>
        </w:rPr>
        <w:t>
      4) контроль соблюдения требований к организации системы внутреннего контроля участником банковского конгломерата;</w:t>
      </w:r>
    </w:p>
    <w:bookmarkEnd w:id="143"/>
    <w:bookmarkStart w:name="z150" w:id="144"/>
    <w:p>
      <w:pPr>
        <w:spacing w:after="0"/>
        <w:ind w:left="0"/>
        <w:jc w:val="both"/>
      </w:pPr>
      <w:r>
        <w:rPr>
          <w:rFonts w:ascii="Times New Roman"/>
          <w:b w:val="false"/>
          <w:i w:val="false"/>
          <w:color w:val="000000"/>
          <w:sz w:val="28"/>
        </w:rPr>
        <w:t>
      5) оценку событий о значимых фактах нарушений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о товариществах с ограниченной и дополнительной ответственностью, а в отношениях с нерезидентами Республики Казахстан –- законодательства страны его происхождения, установленных процедур и политик, значительных сбоях в системе внутреннего контроля участников банковского конгломерата, а также о фактах, когда органы управления участников банковского конгломерата приняли на себя риск, являющийся неприемлемым для банковского конгломерата, или принятые меры контроля не соответствуют уровню принимаемого риска.</w:t>
      </w:r>
    </w:p>
    <w:bookmarkEnd w:id="144"/>
    <w:bookmarkStart w:name="z151" w:id="145"/>
    <w:p>
      <w:pPr>
        <w:spacing w:after="0"/>
        <w:ind w:left="0"/>
        <w:jc w:val="left"/>
      </w:pPr>
      <w:r>
        <w:rPr>
          <w:rFonts w:ascii="Times New Roman"/>
          <w:b/>
          <w:i w:val="false"/>
          <w:color w:val="000000"/>
        </w:rPr>
        <w:t xml:space="preserve"> Глава 7. Внутренний аудит</w:t>
      </w:r>
    </w:p>
    <w:bookmarkEnd w:id="145"/>
    <w:bookmarkStart w:name="z152" w:id="146"/>
    <w:p>
      <w:pPr>
        <w:spacing w:after="0"/>
        <w:ind w:left="0"/>
        <w:jc w:val="both"/>
      </w:pPr>
      <w:r>
        <w:rPr>
          <w:rFonts w:ascii="Times New Roman"/>
          <w:b w:val="false"/>
          <w:i w:val="false"/>
          <w:color w:val="000000"/>
          <w:sz w:val="28"/>
        </w:rPr>
        <w:t>
      41.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 наличие адекватной и эффективной структуры внутреннего аудита у участников банковского конгломерата (при наличии требований законодательства Республики Казахстан), а также обеспечивает соответствие политики и механизмов службы внутреннего аудита требованиям законодательства Республики Казахстан (по применимости), структуре, масштабу деятельности, видам и сложности операций, профилю рисков дочерних организаций.</w:t>
      </w:r>
    </w:p>
    <w:bookmarkEnd w:id="146"/>
    <w:bookmarkStart w:name="z153" w:id="147"/>
    <w:p>
      <w:pPr>
        <w:spacing w:after="0"/>
        <w:ind w:left="0"/>
        <w:jc w:val="both"/>
      </w:pPr>
      <w:r>
        <w:rPr>
          <w:rFonts w:ascii="Times New Roman"/>
          <w:b w:val="false"/>
          <w:i w:val="false"/>
          <w:color w:val="000000"/>
          <w:sz w:val="28"/>
        </w:rPr>
        <w:t>
      42. В целях достижения согласованности подходов в деятельности служб внутреннего аудита участников банковского конгломерата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w:t>
      </w:r>
    </w:p>
    <w:bookmarkEnd w:id="147"/>
    <w:bookmarkStart w:name="z154" w:id="148"/>
    <w:p>
      <w:pPr>
        <w:spacing w:after="0"/>
        <w:ind w:left="0"/>
        <w:jc w:val="both"/>
      </w:pPr>
      <w:r>
        <w:rPr>
          <w:rFonts w:ascii="Times New Roman"/>
          <w:b w:val="false"/>
          <w:i w:val="false"/>
          <w:color w:val="000000"/>
          <w:sz w:val="28"/>
        </w:rPr>
        <w:t>
      1) наличие у участников банковского конгломерата собственной службы внутреннего аудита (внутреннего аудитора) при наличии требований к ее созданию, установленных законодательством Республики Казахстан, подотчетную совету директоров (общему собранию участников) участников банковского конгломерата;</w:t>
      </w:r>
    </w:p>
    <w:bookmarkEnd w:id="148"/>
    <w:bookmarkStart w:name="z155" w:id="149"/>
    <w:p>
      <w:pPr>
        <w:spacing w:after="0"/>
        <w:ind w:left="0"/>
        <w:jc w:val="both"/>
      </w:pPr>
      <w:r>
        <w:rPr>
          <w:rFonts w:ascii="Times New Roman"/>
          <w:b w:val="false"/>
          <w:i w:val="false"/>
          <w:color w:val="000000"/>
          <w:sz w:val="28"/>
        </w:rPr>
        <w:t>
      2) проведение службой внутреннего аудита (внутренним аудитором) организации верхнего уровня банковского конгломерата внутреннего аудита участников банковского конгломерата в объемах, позволяющих совету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выполнять свои правовые обязанности.</w:t>
      </w:r>
    </w:p>
    <w:bookmarkEnd w:id="149"/>
    <w:bookmarkStart w:name="z156" w:id="150"/>
    <w:p>
      <w:pPr>
        <w:spacing w:after="0"/>
        <w:ind w:left="0"/>
        <w:jc w:val="both"/>
      </w:pPr>
      <w:r>
        <w:rPr>
          <w:rFonts w:ascii="Times New Roman"/>
          <w:b w:val="false"/>
          <w:i w:val="false"/>
          <w:color w:val="000000"/>
          <w:sz w:val="28"/>
        </w:rPr>
        <w:t>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определяет стратегию внутреннего аудита банковского конгломерата.</w:t>
      </w:r>
    </w:p>
    <w:bookmarkEnd w:id="150"/>
    <w:bookmarkStart w:name="z157" w:id="151"/>
    <w:p>
      <w:pPr>
        <w:spacing w:after="0"/>
        <w:ind w:left="0"/>
        <w:jc w:val="both"/>
      </w:pPr>
      <w:r>
        <w:rPr>
          <w:rFonts w:ascii="Times New Roman"/>
          <w:b w:val="false"/>
          <w:i w:val="false"/>
          <w:color w:val="000000"/>
          <w:sz w:val="28"/>
        </w:rPr>
        <w:t>
      43. Совет директоров (для товариществ с ограниченной ответственностью – наблюдательный совет (при наличии) или общее собрание участников) верхнего уровня банковского конгломерата определяет стратегию внутреннего аудита банковского конгломерата, определяет организацию внутреннего аудита в организации верхнего уровня банковского конгломерата и участниках банковского конгломерата по согласованию с советами директоров участников конгломерата и в соответствии требованиями банковского законодательства Республики Казахстан, регулирующими деятельность участников банковского конгломерата.</w:t>
      </w:r>
    </w:p>
    <w:bookmarkEnd w:id="151"/>
    <w:bookmarkStart w:name="z158" w:id="152"/>
    <w:p>
      <w:pPr>
        <w:spacing w:after="0"/>
        <w:ind w:left="0"/>
        <w:jc w:val="both"/>
      </w:pPr>
      <w:r>
        <w:rPr>
          <w:rFonts w:ascii="Times New Roman"/>
          <w:b w:val="false"/>
          <w:i w:val="false"/>
          <w:color w:val="000000"/>
          <w:sz w:val="28"/>
        </w:rPr>
        <w:t>
      44.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обеспечивает эффективное осуществление внутреннего аудита участников банковского конгломерата в соответствии с принципами, изложенными в стратегии внутреннего аудита банковского конгломерата.</w:t>
      </w:r>
    </w:p>
    <w:bookmarkEnd w:id="152"/>
    <w:bookmarkStart w:name="z159" w:id="153"/>
    <w:p>
      <w:pPr>
        <w:spacing w:after="0"/>
        <w:ind w:left="0"/>
        <w:jc w:val="both"/>
      </w:pPr>
      <w:r>
        <w:rPr>
          <w:rFonts w:ascii="Times New Roman"/>
          <w:b w:val="false"/>
          <w:i w:val="false"/>
          <w:color w:val="000000"/>
          <w:sz w:val="28"/>
        </w:rPr>
        <w:t>
      45. Служба внутреннего аудита (внутренний аудитор) используют риск-ориентированный подход при разработке своих планов работы и действий.</w:t>
      </w:r>
    </w:p>
    <w:bookmarkEnd w:id="153"/>
    <w:bookmarkStart w:name="z160" w:id="154"/>
    <w:p>
      <w:pPr>
        <w:spacing w:after="0"/>
        <w:ind w:left="0"/>
        <w:jc w:val="both"/>
      </w:pPr>
      <w:r>
        <w:rPr>
          <w:rFonts w:ascii="Times New Roman"/>
          <w:b w:val="false"/>
          <w:i w:val="false"/>
          <w:color w:val="000000"/>
          <w:sz w:val="28"/>
        </w:rPr>
        <w:t>
      46. Совет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определяют сферу компетенции служб внутреннего аудита (внутренний аудитор) организации верхнего уровня банковского конгломерата.</w:t>
      </w:r>
    </w:p>
    <w:bookmarkEnd w:id="154"/>
    <w:bookmarkStart w:name="z161" w:id="155"/>
    <w:p>
      <w:pPr>
        <w:spacing w:after="0"/>
        <w:ind w:left="0"/>
        <w:jc w:val="both"/>
      </w:pPr>
      <w:r>
        <w:rPr>
          <w:rFonts w:ascii="Times New Roman"/>
          <w:b w:val="false"/>
          <w:i w:val="false"/>
          <w:color w:val="000000"/>
          <w:sz w:val="28"/>
        </w:rPr>
        <w:t>
      При этом учитываются опыт и знания работников служб внутреннего аудита (внутренний аудитор) организации верхнего уровня банковского конгломерата и участников банковского конгломерата.</w:t>
      </w:r>
    </w:p>
    <w:bookmarkEnd w:id="155"/>
    <w:bookmarkStart w:name="z162" w:id="156"/>
    <w:p>
      <w:pPr>
        <w:spacing w:after="0"/>
        <w:ind w:left="0"/>
        <w:jc w:val="both"/>
      </w:pPr>
      <w:r>
        <w:rPr>
          <w:rFonts w:ascii="Times New Roman"/>
          <w:b w:val="false"/>
          <w:i w:val="false"/>
          <w:color w:val="000000"/>
          <w:sz w:val="28"/>
        </w:rPr>
        <w:t>
      47. Внутренние аудиторы (аудитор) участников банковского конгломерата отчитываются соответствующему совету директоров (для товариществ с ограниченной ответственностью – наблюдательный совет (при наличии) или общее собрание участников) организации верхнего уровня банковского конгломерата, а также предоставляют ежегодную управленческую отчетность руководителю службы внутреннего аудита (внутреннему аудитору) организации верхнего уровня банковского конгломерата.</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